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5490"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0527DC89" wp14:editId="65442EE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2A95B9E2"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4D08D4F7"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66DED49B"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0D8F2616"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47B4E36C" w14:textId="69F53BB4"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AB13CD">
        <w:rPr>
          <w:rFonts w:ascii="Times New Roman" w:hAnsi="Times New Roman"/>
          <w:smallCaps/>
          <w:color w:val="000000"/>
          <w:sz w:val="28"/>
          <w:szCs w:val="26"/>
        </w:rPr>
        <w:t>Tues</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AB13CD">
        <w:rPr>
          <w:rFonts w:ascii="Times New Roman" w:hAnsi="Times New Roman"/>
          <w:smallCaps/>
          <w:color w:val="000000"/>
          <w:sz w:val="28"/>
          <w:szCs w:val="26"/>
        </w:rPr>
        <w:t>1</w:t>
      </w:r>
      <w:r w:rsidR="00E02241">
        <w:rPr>
          <w:rFonts w:ascii="Times New Roman" w:hAnsi="Times New Roman"/>
          <w:smallCaps/>
          <w:color w:val="000000"/>
          <w:sz w:val="28"/>
          <w:szCs w:val="26"/>
        </w:rPr>
        <w:t xml:space="preserve"> </w:t>
      </w:r>
      <w:r w:rsidR="00AB13CD">
        <w:rPr>
          <w:rFonts w:ascii="Times New Roman" w:hAnsi="Times New Roman"/>
          <w:smallCaps/>
          <w:color w:val="000000"/>
          <w:sz w:val="28"/>
          <w:szCs w:val="26"/>
        </w:rPr>
        <w:t>July</w:t>
      </w:r>
      <w:r w:rsidRPr="00612978">
        <w:rPr>
          <w:rFonts w:ascii="Times New Roman" w:hAnsi="Times New Roman"/>
          <w:smallCaps/>
          <w:color w:val="000000"/>
          <w:sz w:val="28"/>
          <w:szCs w:val="26"/>
        </w:rPr>
        <w:t xml:space="preserve"> 20</w:t>
      </w:r>
      <w:r w:rsidR="00AB13CD">
        <w:rPr>
          <w:rFonts w:ascii="Times New Roman" w:hAnsi="Times New Roman"/>
          <w:smallCaps/>
          <w:color w:val="000000"/>
          <w:sz w:val="28"/>
          <w:szCs w:val="26"/>
        </w:rPr>
        <w:t>25</w:t>
      </w:r>
    </w:p>
    <w:p w14:paraId="01858061" w14:textId="77777777" w:rsidR="008008DD" w:rsidRPr="00612978" w:rsidRDefault="008008DD" w:rsidP="008008DD">
      <w:pPr>
        <w:spacing w:after="0" w:line="240" w:lineRule="exact"/>
        <w:jc w:val="center"/>
        <w:rPr>
          <w:rFonts w:ascii="Times New Roman" w:hAnsi="Times New Roman"/>
          <w:color w:val="000000"/>
          <w:sz w:val="20"/>
        </w:rPr>
      </w:pPr>
    </w:p>
    <w:p w14:paraId="799AAA0E"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3D7ACA5B"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2AB1E066"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04FA6CA5"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7EE43452" w14:textId="2A34DFB3" w:rsidR="00FF189D" w:rsidRPr="00532593" w:rsidRDefault="00531F7A">
      <w:pPr>
        <w:pStyle w:val="TOC1"/>
        <w:tabs>
          <w:tab w:val="right" w:leader="dot" w:pos="4548"/>
        </w:tabs>
        <w:rPr>
          <w:rFonts w:eastAsiaTheme="minorEastAsia"/>
          <w:b w:val="0"/>
          <w:smallCaps w:val="0"/>
          <w:noProof/>
          <w:kern w:val="2"/>
          <w:szCs w:val="17"/>
          <w:lang w:eastAsia="en-AU"/>
          <w14:ligatures w14:val="standardContextual"/>
        </w:rPr>
      </w:pPr>
      <w:r w:rsidRPr="00532593">
        <w:rPr>
          <w:b w:val="0"/>
          <w:smallCaps w:val="0"/>
          <w:szCs w:val="17"/>
        </w:rPr>
        <w:fldChar w:fldCharType="begin"/>
      </w:r>
      <w:r w:rsidRPr="00532593">
        <w:rPr>
          <w:b w:val="0"/>
          <w:smallCaps w:val="0"/>
          <w:szCs w:val="17"/>
        </w:rPr>
        <w:instrText xml:space="preserve"> TOC \o "1-3" \h \z \u </w:instrText>
      </w:r>
      <w:r w:rsidRPr="00532593">
        <w:rPr>
          <w:b w:val="0"/>
          <w:smallCaps w:val="0"/>
          <w:szCs w:val="17"/>
        </w:rPr>
        <w:fldChar w:fldCharType="separate"/>
      </w:r>
      <w:hyperlink w:anchor="_Toc202266560" w:history="1">
        <w:r w:rsidR="00FF189D" w:rsidRPr="00532593">
          <w:rPr>
            <w:rStyle w:val="Hyperlink"/>
            <w:noProof/>
            <w:szCs w:val="17"/>
          </w:rPr>
          <w:t>State Government Instruments</w:t>
        </w:r>
      </w:hyperlink>
    </w:p>
    <w:p w14:paraId="13B82AFF" w14:textId="387C2E3D" w:rsidR="00FF189D" w:rsidRPr="00532593" w:rsidRDefault="00FF189D">
      <w:pPr>
        <w:pStyle w:val="TOC2"/>
        <w:tabs>
          <w:tab w:val="right" w:leader="dot" w:pos="4548"/>
        </w:tabs>
        <w:rPr>
          <w:rFonts w:eastAsiaTheme="minorEastAsia"/>
          <w:noProof/>
          <w:kern w:val="2"/>
          <w:szCs w:val="17"/>
          <w:lang w:eastAsia="en-AU"/>
          <w14:ligatures w14:val="standardContextual"/>
        </w:rPr>
      </w:pPr>
      <w:hyperlink w:anchor="_Toc202266561" w:history="1">
        <w:r w:rsidRPr="00532593">
          <w:rPr>
            <w:rStyle w:val="Hyperlink"/>
            <w:noProof/>
            <w:szCs w:val="17"/>
          </w:rPr>
          <w:t>Fisheries Management (General) Regulations 2017</w:t>
        </w:r>
        <w:r w:rsidRPr="00532593">
          <w:rPr>
            <w:noProof/>
            <w:webHidden/>
            <w:szCs w:val="17"/>
          </w:rPr>
          <w:tab/>
        </w:r>
        <w:r w:rsidRPr="00532593">
          <w:rPr>
            <w:noProof/>
            <w:webHidden/>
            <w:szCs w:val="17"/>
          </w:rPr>
          <w:fldChar w:fldCharType="begin"/>
        </w:r>
        <w:r w:rsidRPr="00532593">
          <w:rPr>
            <w:noProof/>
            <w:webHidden/>
            <w:szCs w:val="17"/>
          </w:rPr>
          <w:instrText xml:space="preserve"> PAGEREF _Toc202266561 \h </w:instrText>
        </w:r>
        <w:r w:rsidRPr="00532593">
          <w:rPr>
            <w:noProof/>
            <w:webHidden/>
            <w:szCs w:val="17"/>
          </w:rPr>
        </w:r>
        <w:r w:rsidRPr="00532593">
          <w:rPr>
            <w:noProof/>
            <w:webHidden/>
            <w:szCs w:val="17"/>
          </w:rPr>
          <w:fldChar w:fldCharType="separate"/>
        </w:r>
        <w:r w:rsidR="00F445EE">
          <w:rPr>
            <w:noProof/>
            <w:webHidden/>
            <w:szCs w:val="17"/>
          </w:rPr>
          <w:t>2332</w:t>
        </w:r>
        <w:r w:rsidRPr="00532593">
          <w:rPr>
            <w:noProof/>
            <w:webHidden/>
            <w:szCs w:val="17"/>
          </w:rPr>
          <w:fldChar w:fldCharType="end"/>
        </w:r>
      </w:hyperlink>
    </w:p>
    <w:p w14:paraId="1B564032" w14:textId="39212A72" w:rsidR="00FF189D" w:rsidRPr="00532593" w:rsidRDefault="00FF189D">
      <w:pPr>
        <w:pStyle w:val="TOC2"/>
        <w:tabs>
          <w:tab w:val="right" w:leader="dot" w:pos="4548"/>
        </w:tabs>
        <w:rPr>
          <w:rFonts w:eastAsiaTheme="minorEastAsia"/>
          <w:noProof/>
          <w:kern w:val="2"/>
          <w:szCs w:val="17"/>
          <w:lang w:eastAsia="en-AU"/>
          <w14:ligatures w14:val="standardContextual"/>
        </w:rPr>
      </w:pPr>
      <w:hyperlink w:anchor="_Toc202266562" w:history="1">
        <w:r w:rsidRPr="00532593">
          <w:rPr>
            <w:rStyle w:val="Hyperlink"/>
            <w:noProof/>
            <w:szCs w:val="17"/>
          </w:rPr>
          <w:t>Fisheries Management Act 2007</w:t>
        </w:r>
        <w:r w:rsidRPr="00532593">
          <w:rPr>
            <w:noProof/>
            <w:webHidden/>
            <w:szCs w:val="17"/>
          </w:rPr>
          <w:tab/>
        </w:r>
        <w:r w:rsidRPr="00532593">
          <w:rPr>
            <w:noProof/>
            <w:webHidden/>
            <w:szCs w:val="17"/>
          </w:rPr>
          <w:fldChar w:fldCharType="begin"/>
        </w:r>
        <w:r w:rsidRPr="00532593">
          <w:rPr>
            <w:noProof/>
            <w:webHidden/>
            <w:szCs w:val="17"/>
          </w:rPr>
          <w:instrText xml:space="preserve"> PAGEREF _Toc202266562 \h </w:instrText>
        </w:r>
        <w:r w:rsidRPr="00532593">
          <w:rPr>
            <w:noProof/>
            <w:webHidden/>
            <w:szCs w:val="17"/>
          </w:rPr>
        </w:r>
        <w:r w:rsidRPr="00532593">
          <w:rPr>
            <w:noProof/>
            <w:webHidden/>
            <w:szCs w:val="17"/>
          </w:rPr>
          <w:fldChar w:fldCharType="separate"/>
        </w:r>
        <w:r w:rsidR="00F445EE">
          <w:rPr>
            <w:noProof/>
            <w:webHidden/>
            <w:szCs w:val="17"/>
          </w:rPr>
          <w:t>2333</w:t>
        </w:r>
        <w:r w:rsidRPr="00532593">
          <w:rPr>
            <w:noProof/>
            <w:webHidden/>
            <w:szCs w:val="17"/>
          </w:rPr>
          <w:fldChar w:fldCharType="end"/>
        </w:r>
      </w:hyperlink>
    </w:p>
    <w:p w14:paraId="56E9838C" w14:textId="11AD911C" w:rsidR="00FF189D" w:rsidRPr="00532593" w:rsidRDefault="00FF189D">
      <w:pPr>
        <w:pStyle w:val="TOC2"/>
        <w:tabs>
          <w:tab w:val="right" w:leader="dot" w:pos="4548"/>
        </w:tabs>
        <w:rPr>
          <w:rFonts w:eastAsiaTheme="minorEastAsia"/>
          <w:noProof/>
          <w:kern w:val="2"/>
          <w:szCs w:val="17"/>
          <w:lang w:eastAsia="en-AU"/>
          <w14:ligatures w14:val="standardContextual"/>
        </w:rPr>
      </w:pPr>
      <w:hyperlink w:anchor="_Toc202266563" w:history="1">
        <w:r w:rsidRPr="00532593">
          <w:rPr>
            <w:rStyle w:val="Hyperlink"/>
            <w:noProof/>
            <w:szCs w:val="17"/>
          </w:rPr>
          <w:t>Health Care Act 2008</w:t>
        </w:r>
        <w:r w:rsidRPr="00532593">
          <w:rPr>
            <w:noProof/>
            <w:webHidden/>
            <w:szCs w:val="17"/>
          </w:rPr>
          <w:tab/>
        </w:r>
        <w:r w:rsidRPr="00532593">
          <w:rPr>
            <w:noProof/>
            <w:webHidden/>
            <w:szCs w:val="17"/>
          </w:rPr>
          <w:fldChar w:fldCharType="begin"/>
        </w:r>
        <w:r w:rsidRPr="00532593">
          <w:rPr>
            <w:noProof/>
            <w:webHidden/>
            <w:szCs w:val="17"/>
          </w:rPr>
          <w:instrText xml:space="preserve"> PAGEREF _Toc202266563 \h </w:instrText>
        </w:r>
        <w:r w:rsidRPr="00532593">
          <w:rPr>
            <w:noProof/>
            <w:webHidden/>
            <w:szCs w:val="17"/>
          </w:rPr>
        </w:r>
        <w:r w:rsidRPr="00532593">
          <w:rPr>
            <w:noProof/>
            <w:webHidden/>
            <w:szCs w:val="17"/>
          </w:rPr>
          <w:fldChar w:fldCharType="separate"/>
        </w:r>
        <w:r w:rsidR="00F445EE">
          <w:rPr>
            <w:noProof/>
            <w:webHidden/>
            <w:szCs w:val="17"/>
          </w:rPr>
          <w:t>2335</w:t>
        </w:r>
        <w:r w:rsidRPr="00532593">
          <w:rPr>
            <w:noProof/>
            <w:webHidden/>
            <w:szCs w:val="17"/>
          </w:rPr>
          <w:fldChar w:fldCharType="end"/>
        </w:r>
      </w:hyperlink>
    </w:p>
    <w:p w14:paraId="57687357" w14:textId="283B893A" w:rsidR="00FF189D" w:rsidRPr="00532593" w:rsidRDefault="00FF189D">
      <w:pPr>
        <w:pStyle w:val="TOC2"/>
        <w:tabs>
          <w:tab w:val="right" w:leader="dot" w:pos="4548"/>
        </w:tabs>
        <w:rPr>
          <w:rFonts w:eastAsiaTheme="minorEastAsia"/>
          <w:noProof/>
          <w:kern w:val="2"/>
          <w:szCs w:val="17"/>
          <w:lang w:eastAsia="en-AU"/>
          <w14:ligatures w14:val="standardContextual"/>
        </w:rPr>
      </w:pPr>
      <w:hyperlink w:anchor="_Toc202266564" w:history="1">
        <w:r w:rsidRPr="00532593">
          <w:rPr>
            <w:rStyle w:val="Hyperlink"/>
            <w:noProof/>
            <w:szCs w:val="17"/>
          </w:rPr>
          <w:t>Landscape South Australia Act 2019</w:t>
        </w:r>
        <w:r w:rsidRPr="00532593">
          <w:rPr>
            <w:noProof/>
            <w:webHidden/>
            <w:szCs w:val="17"/>
          </w:rPr>
          <w:tab/>
        </w:r>
        <w:r w:rsidRPr="00532593">
          <w:rPr>
            <w:noProof/>
            <w:webHidden/>
            <w:szCs w:val="17"/>
          </w:rPr>
          <w:fldChar w:fldCharType="begin"/>
        </w:r>
        <w:r w:rsidRPr="00532593">
          <w:rPr>
            <w:noProof/>
            <w:webHidden/>
            <w:szCs w:val="17"/>
          </w:rPr>
          <w:instrText xml:space="preserve"> PAGEREF _Toc202266564 \h </w:instrText>
        </w:r>
        <w:r w:rsidRPr="00532593">
          <w:rPr>
            <w:noProof/>
            <w:webHidden/>
            <w:szCs w:val="17"/>
          </w:rPr>
        </w:r>
        <w:r w:rsidRPr="00532593">
          <w:rPr>
            <w:noProof/>
            <w:webHidden/>
            <w:szCs w:val="17"/>
          </w:rPr>
          <w:fldChar w:fldCharType="separate"/>
        </w:r>
        <w:r w:rsidR="00F445EE">
          <w:rPr>
            <w:noProof/>
            <w:webHidden/>
            <w:szCs w:val="17"/>
          </w:rPr>
          <w:t>2337</w:t>
        </w:r>
        <w:r w:rsidRPr="00532593">
          <w:rPr>
            <w:noProof/>
            <w:webHidden/>
            <w:szCs w:val="17"/>
          </w:rPr>
          <w:fldChar w:fldCharType="end"/>
        </w:r>
      </w:hyperlink>
    </w:p>
    <w:p w14:paraId="12097211" w14:textId="5D1DB682" w:rsidR="00842BD5" w:rsidRPr="00532593" w:rsidRDefault="00531F7A" w:rsidP="00D00277">
      <w:pPr>
        <w:pStyle w:val="NoSpace"/>
        <w:rPr>
          <w:szCs w:val="17"/>
        </w:rPr>
      </w:pPr>
      <w:r w:rsidRPr="00532593">
        <w:rPr>
          <w:szCs w:val="17"/>
        </w:rPr>
        <w:fldChar w:fldCharType="end"/>
      </w:r>
    </w:p>
    <w:p w14:paraId="0F69AFF3"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32D49CD4" w14:textId="77777777" w:rsidR="00F337C8" w:rsidRPr="009D1E2E" w:rsidRDefault="00F337C8" w:rsidP="00693DF1">
      <w:pPr>
        <w:pStyle w:val="Heading1"/>
      </w:pPr>
      <w:bookmarkStart w:id="0" w:name="_Toc202266560"/>
      <w:r w:rsidRPr="009D1E2E">
        <w:lastRenderedPageBreak/>
        <w:t>State Government Instruments</w:t>
      </w:r>
      <w:bookmarkEnd w:id="0"/>
    </w:p>
    <w:p w14:paraId="711AC779" w14:textId="77777777" w:rsidR="00AC2B24" w:rsidRDefault="00AC2B24" w:rsidP="00B06F6D">
      <w:pPr>
        <w:pStyle w:val="Heading2"/>
      </w:pPr>
      <w:bookmarkStart w:id="1" w:name="_Toc202266561"/>
      <w:r>
        <w:t>Fisheries Management (General) Regulations 2017</w:t>
      </w:r>
      <w:bookmarkEnd w:id="1"/>
    </w:p>
    <w:p w14:paraId="2B636871" w14:textId="77777777" w:rsidR="00AC2B24" w:rsidRDefault="00AC2B24" w:rsidP="00AC2B24">
      <w:pPr>
        <w:pStyle w:val="GG-Title2"/>
      </w:pPr>
      <w:r>
        <w:t>Regulation 23B</w:t>
      </w:r>
    </w:p>
    <w:p w14:paraId="1FAA77B7" w14:textId="77777777" w:rsidR="00AC2B24" w:rsidRDefault="00AC2B24" w:rsidP="00AC2B24">
      <w:pPr>
        <w:pStyle w:val="GG-Title3"/>
      </w:pPr>
      <w:r>
        <w:t>Revoke Determination—Taking of Murray Cod in the Waters of the River Murray Proper and Lakes Albert and Alexandrina</w:t>
      </w:r>
    </w:p>
    <w:p w14:paraId="69BF77F4" w14:textId="77777777" w:rsidR="00AC2B24" w:rsidRPr="00122928" w:rsidRDefault="00AC2B24" w:rsidP="00AC2B24">
      <w:pPr>
        <w:pStyle w:val="GG-body"/>
        <w:rPr>
          <w:spacing w:val="-2"/>
        </w:rPr>
      </w:pPr>
      <w:r w:rsidRPr="00122928">
        <w:rPr>
          <w:spacing w:val="-2"/>
        </w:rPr>
        <w:t xml:space="preserve">Take notice that the Determination made for the purpose of Regulation 23B of the </w:t>
      </w:r>
      <w:r w:rsidRPr="00122928">
        <w:rPr>
          <w:i/>
          <w:iCs/>
          <w:spacing w:val="-2"/>
        </w:rPr>
        <w:t>Fisheries Management (General) Regulations 2017</w:t>
      </w:r>
      <w:r w:rsidRPr="00122928">
        <w:rPr>
          <w:spacing w:val="-2"/>
        </w:rPr>
        <w:t xml:space="preserve"> dated 27 June 2024 and published in the </w:t>
      </w:r>
      <w:r w:rsidRPr="007628D5">
        <w:rPr>
          <w:i/>
          <w:iCs/>
          <w:spacing w:val="-2"/>
        </w:rPr>
        <w:t>South Australian Government Gazette</w:t>
      </w:r>
      <w:r w:rsidRPr="00122928">
        <w:rPr>
          <w:spacing w:val="-2"/>
        </w:rPr>
        <w:t xml:space="preserve"> dated 4 July 2024, on page 2052, being the second notice on that page in regard to the take of Murray Cod in the waters of the River Murray proper and Lakes Albert and Alexandrina is hereby revoked.</w:t>
      </w:r>
    </w:p>
    <w:p w14:paraId="7169A8A0" w14:textId="77777777" w:rsidR="00AC2B24" w:rsidRDefault="00AC2B24" w:rsidP="00AC2B24">
      <w:pPr>
        <w:pStyle w:val="GG-Title2"/>
      </w:pPr>
      <w:r>
        <w:t>Determination</w:t>
      </w:r>
    </w:p>
    <w:p w14:paraId="7D76EBEC" w14:textId="77777777" w:rsidR="00AC2B24" w:rsidRDefault="00AC2B24" w:rsidP="00AC2B24">
      <w:pPr>
        <w:pStyle w:val="GG-Title3"/>
      </w:pPr>
      <w:r>
        <w:t>Taking of Murray Cod in the Waters of the River Murray Proper and Lakes Albert and Alexandrina</w:t>
      </w:r>
    </w:p>
    <w:p w14:paraId="5645A8DB" w14:textId="77777777" w:rsidR="00AC2B24" w:rsidRPr="001F35BD" w:rsidRDefault="00AC2B24" w:rsidP="00AC2B24">
      <w:pPr>
        <w:pStyle w:val="GG-body"/>
        <w:rPr>
          <w:spacing w:val="-2"/>
        </w:rPr>
      </w:pPr>
      <w:r w:rsidRPr="001F35BD">
        <w:rPr>
          <w:spacing w:val="-2"/>
        </w:rPr>
        <w:t>As the delegate of the Minister for Primary Industries and Regional Development, I</w:t>
      </w:r>
      <w:r>
        <w:rPr>
          <w:spacing w:val="-2"/>
        </w:rPr>
        <w:t>,</w:t>
      </w:r>
      <w:r w:rsidRPr="001F35BD">
        <w:rPr>
          <w:spacing w:val="-2"/>
        </w:rPr>
        <w:t xml:space="preserve"> Professor Gavin Begg, Executive Director Fisheries and Aquaculture, make the following determination for the purposes of Regulation 23B of the </w:t>
      </w:r>
      <w:r w:rsidRPr="001F35BD">
        <w:rPr>
          <w:i/>
          <w:iCs/>
          <w:spacing w:val="-2"/>
        </w:rPr>
        <w:t>Fisheries Management (General) Regulations 2017</w:t>
      </w:r>
      <w:r w:rsidRPr="001F35BD">
        <w:rPr>
          <w:spacing w:val="-2"/>
        </w:rPr>
        <w:t xml:space="preserve"> in regard to the take of Murray Cod in the waters of the River Murray proper and Lakes Albert and Alexandrina, unless this notice is otherwise varied or revoked: </w:t>
      </w:r>
    </w:p>
    <w:p w14:paraId="496BB798" w14:textId="77777777" w:rsidR="00AC2B24" w:rsidRDefault="00AC2B24" w:rsidP="00AC2B24">
      <w:pPr>
        <w:pStyle w:val="GG-body"/>
        <w:ind w:left="426" w:hanging="284"/>
      </w:pPr>
      <w:r>
        <w:t>1.</w:t>
      </w:r>
      <w:r>
        <w:tab/>
        <w:t>The person occupying or acting in the position of Research Director, South Australian Research and Development Institute (SARDI), Aquatic and Livestock Sciences, and their nominated agents being scientists and technical staff employed by the Department of Primary Industries and Regions (PIRSA) and substantively engaged by SARDI (“agents”) and Specified Affiliates of SARDI as defined in this notice, may take Murray Cod within the River Murray proper, Murray mouth, Coorong and Lakes Albert and Alexandrina, but only insofar as the activities are consistent with Research Activities detailed in this notice where:</w:t>
      </w:r>
    </w:p>
    <w:p w14:paraId="446F1A7C" w14:textId="77777777" w:rsidR="00AC2B24" w:rsidRDefault="00AC2B24" w:rsidP="00AC2B24">
      <w:pPr>
        <w:pStyle w:val="GG-body"/>
        <w:ind w:left="709" w:hanging="284"/>
      </w:pPr>
      <w:r>
        <w:t>(a)</w:t>
      </w:r>
      <w:r>
        <w:tab/>
        <w:t>Specified Affiliates of SARDI means commercial fishing licence holders, independent contractors, research students, volunteers, and other affiliates provided the following additional conditions are met:</w:t>
      </w:r>
    </w:p>
    <w:p w14:paraId="7557DFD5" w14:textId="77777777" w:rsidR="00AC2B24" w:rsidRDefault="00AC2B24" w:rsidP="00AC2B24">
      <w:pPr>
        <w:pStyle w:val="GG-body"/>
        <w:ind w:left="1134" w:hanging="425"/>
      </w:pPr>
      <w:r>
        <w:t>(i)</w:t>
      </w:r>
      <w:r>
        <w:tab/>
      </w:r>
      <w:r w:rsidRPr="000E2547">
        <w:rPr>
          <w:spacing w:val="4"/>
        </w:rPr>
        <w:t>At least 1 clear business day (the “consideration period”) prior to undertaking the permitted activity the person occupying or acting in the position of Research Director (or their delegate) notifies the Fisheries Regional Manager in writing of the names of the affiliates that will be undertaking the permitted activity together with any other identifying</w:t>
      </w:r>
      <w:r w:rsidRPr="000E2547">
        <w:rPr>
          <w:spacing w:val="2"/>
        </w:rPr>
        <w:t xml:space="preserve"> information about</w:t>
      </w:r>
      <w:r>
        <w:t xml:space="preserve"> the affiliates that may be specifically required from time to time by email to </w:t>
      </w:r>
      <w:hyperlink r:id="rId18" w:history="1">
        <w:r w:rsidRPr="000E2547">
          <w:rPr>
            <w:rStyle w:val="Hyperlink"/>
          </w:rPr>
          <w:t>PIRSA.FisheriesOperationalManagement@sa.gov.au</w:t>
        </w:r>
      </w:hyperlink>
      <w:r>
        <w:t>; and</w:t>
      </w:r>
    </w:p>
    <w:p w14:paraId="4732F7F2" w14:textId="77777777" w:rsidR="00AC2B24" w:rsidRDefault="00AC2B24" w:rsidP="00AC2B24">
      <w:pPr>
        <w:pStyle w:val="GG-body"/>
        <w:ind w:left="1134" w:hanging="425"/>
      </w:pPr>
      <w:r>
        <w:t>(ii)</w:t>
      </w:r>
      <w:r>
        <w:tab/>
        <w:t xml:space="preserve">No objection is taken to the affiliates nominated by SARDI during the consideration period (with any such objection being communicated to Dr Gretchen Grammer or the person occupying or acting in the position of Research Director, South Australian Research and Development Institute (SARDI)). </w:t>
      </w:r>
    </w:p>
    <w:p w14:paraId="095EEBA4" w14:textId="77777777" w:rsidR="00AC2B24" w:rsidRDefault="00AC2B24" w:rsidP="00AC2B24">
      <w:pPr>
        <w:pStyle w:val="GG-body"/>
        <w:ind w:left="709" w:hanging="284"/>
      </w:pPr>
      <w:r>
        <w:t>(b)</w:t>
      </w:r>
      <w:r>
        <w:tab/>
        <w:t>Research Activities means the following research projects or activities undertaken by SARDI:</w:t>
      </w:r>
    </w:p>
    <w:p w14:paraId="19829533" w14:textId="77777777" w:rsidR="00AC2B24" w:rsidRDefault="00AC2B24" w:rsidP="00AC2B24">
      <w:pPr>
        <w:pStyle w:val="GG-body"/>
        <w:ind w:left="1134" w:hanging="425"/>
      </w:pPr>
      <w:r>
        <w:t>(i)</w:t>
      </w:r>
      <w:r>
        <w:tab/>
        <w:t>CEWH Flow-MER fish monitoring and research—Lower Murray, Coorong, Lower Lakes and Murray Mouth</w:t>
      </w:r>
    </w:p>
    <w:p w14:paraId="41A275DB" w14:textId="77777777" w:rsidR="00AC2B24" w:rsidRDefault="00AC2B24" w:rsidP="00AC2B24">
      <w:pPr>
        <w:pStyle w:val="GG-body"/>
        <w:ind w:left="1134" w:hanging="425"/>
      </w:pPr>
      <w:r>
        <w:t>(ii)</w:t>
      </w:r>
      <w:r>
        <w:tab/>
        <w:t>Murray Darling Basin (MDB) Fish Survey in Lower Murray River</w:t>
      </w:r>
    </w:p>
    <w:p w14:paraId="10903278" w14:textId="77777777" w:rsidR="00AC2B24" w:rsidRDefault="00AC2B24" w:rsidP="00AC2B24">
      <w:pPr>
        <w:pStyle w:val="GG-body"/>
        <w:ind w:left="1134" w:hanging="425"/>
      </w:pPr>
      <w:r>
        <w:t>(iii)</w:t>
      </w:r>
      <w:r>
        <w:tab/>
        <w:t>Riverland Anabranch Fish Condition and Intervention Monitoring</w:t>
      </w:r>
    </w:p>
    <w:p w14:paraId="06ECEC41" w14:textId="77777777" w:rsidR="00AC2B24" w:rsidRDefault="00AC2B24" w:rsidP="00AC2B24">
      <w:pPr>
        <w:pStyle w:val="GG-body"/>
        <w:ind w:left="1134" w:hanging="425"/>
      </w:pPr>
      <w:r>
        <w:t>(iv)</w:t>
      </w:r>
      <w:r>
        <w:tab/>
        <w:t>Movement and Habitat use of Murray Cod in the lower Murray River.</w:t>
      </w:r>
    </w:p>
    <w:p w14:paraId="4A30381A" w14:textId="77777777" w:rsidR="00AC2B24" w:rsidRDefault="00AC2B24" w:rsidP="00AC2B24">
      <w:pPr>
        <w:pStyle w:val="GG-body"/>
        <w:ind w:left="1134" w:hanging="425"/>
      </w:pPr>
      <w:r>
        <w:t>(v)</w:t>
      </w:r>
      <w:r>
        <w:tab/>
        <w:t>Scoping study on fish entrainment in irrigation infrastructure and irrigator attitudes towards fish-protection screens in the SA River Murray.</w:t>
      </w:r>
    </w:p>
    <w:p w14:paraId="36E52A04" w14:textId="77777777" w:rsidR="00AC2B24" w:rsidRDefault="00AC2B24" w:rsidP="00AC2B24">
      <w:pPr>
        <w:pStyle w:val="GG-body"/>
        <w:ind w:left="1134" w:hanging="425"/>
      </w:pPr>
      <w:r>
        <w:t>(vi)</w:t>
      </w:r>
      <w:r>
        <w:tab/>
        <w:t>SA Water stocked reservoir recreational fisheries.</w:t>
      </w:r>
    </w:p>
    <w:p w14:paraId="1089BCDD" w14:textId="77777777" w:rsidR="00AC2B24" w:rsidRDefault="00AC2B24" w:rsidP="00AC2B24">
      <w:pPr>
        <w:pStyle w:val="GG-body"/>
        <w:ind w:left="1134" w:hanging="425"/>
      </w:pPr>
      <w:r>
        <w:t>(vii)</w:t>
      </w:r>
      <w:r>
        <w:tab/>
        <w:t>The commonwealth Environmental Office Monitoring, Evaluation and research project.</w:t>
      </w:r>
    </w:p>
    <w:p w14:paraId="0F1F22DC" w14:textId="77777777" w:rsidR="00AC2B24" w:rsidRDefault="00AC2B24" w:rsidP="00AC2B24">
      <w:pPr>
        <w:pStyle w:val="GG-body"/>
        <w:ind w:left="1134" w:hanging="425"/>
      </w:pPr>
      <w:r>
        <w:t>(viii)</w:t>
      </w:r>
      <w:r>
        <w:tab/>
        <w:t>Fish condition and Intervention Monitoring—Chowilla, Pike and Katarapko.</w:t>
      </w:r>
    </w:p>
    <w:p w14:paraId="38890AB8" w14:textId="77777777" w:rsidR="00AC2B24" w:rsidRPr="0087407D" w:rsidRDefault="00AC2B24" w:rsidP="00AC2B24">
      <w:pPr>
        <w:pStyle w:val="GG-SDated"/>
      </w:pPr>
      <w:r w:rsidRPr="0087407D">
        <w:t>Dated: 30 June 2025</w:t>
      </w:r>
    </w:p>
    <w:p w14:paraId="7C6D028B" w14:textId="77777777" w:rsidR="00AC2B24" w:rsidRDefault="00AC2B24" w:rsidP="00AC2B24">
      <w:pPr>
        <w:pStyle w:val="GG-SName"/>
      </w:pPr>
      <w:r>
        <w:t xml:space="preserve">Professor Gavin Begg </w:t>
      </w:r>
    </w:p>
    <w:p w14:paraId="7D077632" w14:textId="77777777" w:rsidR="00AC2B24" w:rsidRDefault="00AC2B24" w:rsidP="00AC2B24">
      <w:pPr>
        <w:pStyle w:val="GG-Signature"/>
      </w:pPr>
      <w:r>
        <w:t xml:space="preserve">Executive Director </w:t>
      </w:r>
    </w:p>
    <w:p w14:paraId="224E44FE" w14:textId="77777777" w:rsidR="00AC2B24" w:rsidRDefault="00AC2B24" w:rsidP="00AC2B24">
      <w:pPr>
        <w:pStyle w:val="GG-Signature"/>
      </w:pPr>
      <w:r>
        <w:t>Fisheries and Aquaculture</w:t>
      </w:r>
    </w:p>
    <w:p w14:paraId="2FB97C3F" w14:textId="77777777" w:rsidR="00AC2B24" w:rsidRDefault="00AC2B24" w:rsidP="00AC2B24">
      <w:pPr>
        <w:pStyle w:val="GG-Signature"/>
      </w:pPr>
      <w:r>
        <w:t>Delegate of the Minister for Primary Industries and Regional Development</w:t>
      </w:r>
    </w:p>
    <w:p w14:paraId="79E04AA9" w14:textId="77777777" w:rsidR="00AC2B24" w:rsidRDefault="00AC2B24" w:rsidP="00AC2B24">
      <w:pPr>
        <w:pStyle w:val="GG-Signature"/>
        <w:pBdr>
          <w:top w:val="single" w:sz="4" w:space="1" w:color="auto"/>
        </w:pBdr>
        <w:spacing w:before="100" w:line="14" w:lineRule="exact"/>
        <w:jc w:val="center"/>
      </w:pPr>
    </w:p>
    <w:p w14:paraId="2C9D2411" w14:textId="77777777" w:rsidR="00AC2B24" w:rsidRDefault="00AC2B24" w:rsidP="00D00277">
      <w:pPr>
        <w:pStyle w:val="NoSpace"/>
      </w:pPr>
    </w:p>
    <w:p w14:paraId="7B661FF4" w14:textId="77777777" w:rsidR="00AC2B24" w:rsidRDefault="00AC2B24" w:rsidP="00AC2B24">
      <w:pPr>
        <w:pStyle w:val="GG-Title1"/>
      </w:pPr>
      <w:r>
        <w:t>Fisheries Management (General) Regulations 2017</w:t>
      </w:r>
    </w:p>
    <w:p w14:paraId="17E4C48F" w14:textId="77777777" w:rsidR="00AC2B24" w:rsidRDefault="00AC2B24" w:rsidP="00AC2B24">
      <w:pPr>
        <w:pStyle w:val="GG-Title2"/>
      </w:pPr>
      <w:r>
        <w:t>Regulation 23C(1)</w:t>
      </w:r>
    </w:p>
    <w:p w14:paraId="3E557199" w14:textId="77777777" w:rsidR="00AC2B24" w:rsidRDefault="00AC2B24" w:rsidP="00AC2B24">
      <w:pPr>
        <w:pStyle w:val="GG-Title3"/>
      </w:pPr>
      <w:r>
        <w:t xml:space="preserve">Revoke Determination—Taking of Snapper in Gulf St. Vincent and Kangaroo Island Fishing Zone, </w:t>
      </w:r>
      <w:r>
        <w:br/>
        <w:t>the Spencer Gulf Fishing Zone, the West Coast Fishing Zone or the Port Adelaide River Estuary</w:t>
      </w:r>
    </w:p>
    <w:p w14:paraId="6EF3D7A4" w14:textId="77777777" w:rsidR="00AC2B24" w:rsidRDefault="00AC2B24" w:rsidP="00AC2B24">
      <w:pPr>
        <w:pStyle w:val="GG-body"/>
      </w:pPr>
      <w:r>
        <w:t xml:space="preserve">Take notice that the Determination made for the purpose of Regulation 23B of the </w:t>
      </w:r>
      <w:r w:rsidRPr="00A654E4">
        <w:rPr>
          <w:i/>
          <w:iCs/>
        </w:rPr>
        <w:t>Fisheries Management (General) Regulations 2017</w:t>
      </w:r>
      <w:r>
        <w:t xml:space="preserve"> dated 20 December 2024 and published in the </w:t>
      </w:r>
      <w:r w:rsidRPr="00A654E4">
        <w:rPr>
          <w:i/>
          <w:iCs/>
        </w:rPr>
        <w:t>South Australian Government Gazette</w:t>
      </w:r>
      <w:r>
        <w:t xml:space="preserve"> dated 2 January 2025, on page 9, being the first notice on that page in regard to the taking of Snapper in Gulf St. Vincent and Kangaroo Island Fishing Zone, the Spencer Gulf Fishing Zone, the West Coast Fishing Zone or the Port Adelaide River estuary, is hereby revoked.</w:t>
      </w:r>
    </w:p>
    <w:p w14:paraId="1BA49F59" w14:textId="77777777" w:rsidR="00AC2B24" w:rsidRDefault="00AC2B24" w:rsidP="00AC2B24">
      <w:pPr>
        <w:pStyle w:val="GG-Title2"/>
      </w:pPr>
      <w:r>
        <w:t>Determination</w:t>
      </w:r>
    </w:p>
    <w:p w14:paraId="1581DB0C" w14:textId="77777777" w:rsidR="00AC2B24" w:rsidRDefault="00AC2B24" w:rsidP="00AC2B24">
      <w:pPr>
        <w:pStyle w:val="GG-Title3"/>
      </w:pPr>
      <w:r>
        <w:t xml:space="preserve">Taking of Snapper in Gulf St. Vincent and Kangaroo Island Fishing Zone, the Spencer Gulf Fishing Zone, </w:t>
      </w:r>
      <w:r>
        <w:br/>
        <w:t>the West Coast Fishing Zone or the Port Adelaide River Estuary</w:t>
      </w:r>
    </w:p>
    <w:p w14:paraId="31BD1A4D" w14:textId="77777777" w:rsidR="00AC2B24" w:rsidRDefault="00AC2B24" w:rsidP="00AC2B24">
      <w:pPr>
        <w:pStyle w:val="GG-body"/>
      </w:pPr>
      <w:r w:rsidRPr="00A654E4">
        <w:rPr>
          <w:spacing w:val="-2"/>
        </w:rPr>
        <w:t>As the delegate of the Minister for Primary Industries and Regional Development, I</w:t>
      </w:r>
      <w:r>
        <w:rPr>
          <w:spacing w:val="-2"/>
        </w:rPr>
        <w:t>,</w:t>
      </w:r>
      <w:r w:rsidRPr="00A654E4">
        <w:rPr>
          <w:spacing w:val="-2"/>
        </w:rPr>
        <w:t xml:space="preserve"> Professor Gavin Begg, Executive Director Fisheries</w:t>
      </w:r>
      <w:r>
        <w:t xml:space="preserve"> </w:t>
      </w:r>
      <w:r w:rsidRPr="00A654E4">
        <w:rPr>
          <w:spacing w:val="-2"/>
        </w:rPr>
        <w:t xml:space="preserve">and Aquaculture, make the following determination for the purposes of Regulation 23C of the </w:t>
      </w:r>
      <w:r w:rsidRPr="00A654E4">
        <w:rPr>
          <w:i/>
          <w:iCs/>
          <w:spacing w:val="-2"/>
        </w:rPr>
        <w:t>Fisheries Management (General) Regulations 2017</w:t>
      </w:r>
      <w:r>
        <w:t xml:space="preserve"> in regard to the take of Snapper in the Gulf St. Vincent and Kangaroo Island Fishing Zone, the Spencer Gulf Fishing Zone, the West Coast Fishing Zone or the Port Adelaide River estuary on the date of Gazettal, unless this notice is otherwise varied or revoked:</w:t>
      </w:r>
    </w:p>
    <w:p w14:paraId="3EA6C5A1" w14:textId="77777777" w:rsidR="00AC2B24" w:rsidRDefault="00AC2B24" w:rsidP="00AC2B24">
      <w:pPr>
        <w:pStyle w:val="GG-body"/>
        <w:ind w:left="426" w:hanging="284"/>
      </w:pPr>
      <w:r>
        <w:t>1.</w:t>
      </w:r>
      <w:r>
        <w:tab/>
        <w:t>The person occupying or acting in the position of Research Director, South Australian Research and Development Institute (SARDI), Aquatic and Livestock Sciences, and their nominated agents being scientists and technical staff employed by the Department of Primary Industries and Regions (PIRSA) and substantively engaged by SARDI (“agents”) and Specified Affiliates of SARDI as defined in this notice, may take Snapper within the Gulf St. Vincent and Kangaroo Island Fishing Zone, the Spencer Gulf Fishing Zone, the West Coast Fishing Zone or the Port Adelaide River estuary, but only insofar as the activities are consistent with Research Activities detailed in this notice where:</w:t>
      </w:r>
    </w:p>
    <w:p w14:paraId="1EF87A2C" w14:textId="77777777" w:rsidR="00AC2B24" w:rsidRDefault="00AC2B24" w:rsidP="00AC2B24">
      <w:pPr>
        <w:pStyle w:val="GG-body"/>
        <w:ind w:left="709" w:hanging="283"/>
      </w:pPr>
      <w:r>
        <w:lastRenderedPageBreak/>
        <w:t>(a)</w:t>
      </w:r>
      <w:r>
        <w:tab/>
        <w:t>Specified Affiliates of SARDI means commercial fishing licence holders, independent contractors, research students, volunteers, and other affiliates provided the following additional conditions are met:</w:t>
      </w:r>
    </w:p>
    <w:p w14:paraId="3D73A4CE" w14:textId="77777777" w:rsidR="00AC2B24" w:rsidRDefault="00AC2B24" w:rsidP="00AC2B24">
      <w:pPr>
        <w:pStyle w:val="GG-body"/>
        <w:ind w:left="1049" w:hanging="340"/>
      </w:pPr>
      <w:r>
        <w:t>(i)</w:t>
      </w:r>
      <w:r>
        <w:tab/>
      </w:r>
      <w:r w:rsidRPr="00FA0A42">
        <w:rPr>
          <w:spacing w:val="-2"/>
        </w:rPr>
        <w:t xml:space="preserve">At least 1 clear business day (the “consideration period”) prior to undertaking the permitted activity the person occupying or acting in the position of Research Director (or their delegate), notifies the Fisheries Regional Manager in writing of the names of the affiliates that will be undertaking the permitted activity together with any other identifying information about the affiliates that may be specifically required from time to time by email to </w:t>
      </w:r>
      <w:hyperlink r:id="rId19" w:history="1">
        <w:r w:rsidRPr="007451A8">
          <w:rPr>
            <w:rStyle w:val="Hyperlink"/>
          </w:rPr>
          <w:t>PIRSA.FisheriesOperationalManagement@sa.gov.au</w:t>
        </w:r>
      </w:hyperlink>
      <w:r>
        <w:t xml:space="preserve">; and </w:t>
      </w:r>
    </w:p>
    <w:p w14:paraId="18863CDE" w14:textId="77777777" w:rsidR="00AC2B24" w:rsidRDefault="00AC2B24" w:rsidP="00AC2B24">
      <w:pPr>
        <w:pStyle w:val="GG-body"/>
        <w:ind w:left="1049" w:hanging="340"/>
      </w:pPr>
      <w:r>
        <w:t>(ii)</w:t>
      </w:r>
      <w:r>
        <w:tab/>
        <w:t>No objection is taken to the affiliates nominated by SARDI during the consideration period (with any such objection being communicated to the person occupying or acting in the position of Research Director, South Australian Research and Development Institute (SARDI)).</w:t>
      </w:r>
    </w:p>
    <w:p w14:paraId="70D9D5CE" w14:textId="77777777" w:rsidR="00AC2B24" w:rsidRDefault="00AC2B24" w:rsidP="00AC2B24">
      <w:pPr>
        <w:pStyle w:val="GG-body"/>
        <w:ind w:left="709" w:hanging="283"/>
      </w:pPr>
      <w:r>
        <w:t>(b)</w:t>
      </w:r>
      <w:r>
        <w:tab/>
        <w:t>Research Activities means the following research projects or activities undertaken by SARDI:</w:t>
      </w:r>
    </w:p>
    <w:p w14:paraId="6FEC32C6" w14:textId="77777777" w:rsidR="00AC2B24" w:rsidRDefault="00AC2B24" w:rsidP="00AC2B24">
      <w:pPr>
        <w:pStyle w:val="GG-body"/>
        <w:ind w:left="1049" w:hanging="340"/>
      </w:pPr>
      <w:r>
        <w:t>(i)</w:t>
      </w:r>
      <w:r>
        <w:tab/>
        <w:t xml:space="preserve">Marine Scalefish Fishery—Snapper Science Program </w:t>
      </w:r>
    </w:p>
    <w:p w14:paraId="5364C858" w14:textId="77777777" w:rsidR="00AC2B24" w:rsidRDefault="00AC2B24" w:rsidP="00AC2B24">
      <w:pPr>
        <w:pStyle w:val="GG-body"/>
        <w:ind w:left="1049" w:hanging="340"/>
      </w:pPr>
      <w:r>
        <w:t>(ii)</w:t>
      </w:r>
      <w:r>
        <w:tab/>
        <w:t>Snapper Restocking—Hatchery broodstock</w:t>
      </w:r>
    </w:p>
    <w:p w14:paraId="5C66BFE5" w14:textId="77777777" w:rsidR="00AC2B24" w:rsidRDefault="00AC2B24" w:rsidP="00AC2B24">
      <w:pPr>
        <w:pStyle w:val="GG-body"/>
        <w:ind w:left="1049" w:hanging="340"/>
      </w:pPr>
      <w:r>
        <w:t>(</w:t>
      </w:r>
      <w:r w:rsidRPr="005B1C4A">
        <w:t>iii</w:t>
      </w:r>
      <w:r>
        <w:t>)</w:t>
      </w:r>
      <w:r>
        <w:tab/>
        <w:t>Gulf St Vincent Prawn Fishery Assessments</w:t>
      </w:r>
    </w:p>
    <w:p w14:paraId="6CDC8B8E" w14:textId="77777777" w:rsidR="00AC2B24" w:rsidRDefault="00AC2B24" w:rsidP="00AC2B24">
      <w:pPr>
        <w:pStyle w:val="GG-body"/>
        <w:ind w:left="1049" w:hanging="340"/>
      </w:pPr>
      <w:r>
        <w:t>(iv)</w:t>
      </w:r>
      <w:r>
        <w:tab/>
        <w:t>Spencer Gulf Prawn Fishery Assessments</w:t>
      </w:r>
    </w:p>
    <w:p w14:paraId="63E2BED8" w14:textId="77777777" w:rsidR="00AC2B24" w:rsidRDefault="00AC2B24" w:rsidP="00AC2B24">
      <w:pPr>
        <w:pStyle w:val="GG-body"/>
        <w:ind w:left="1049" w:hanging="340"/>
      </w:pPr>
      <w:r>
        <w:t>(v)</w:t>
      </w:r>
      <w:r>
        <w:tab/>
        <w:t>FRDC Project 2023-085—Snapper Science Program Theme 1—Biology and Ecology</w:t>
      </w:r>
    </w:p>
    <w:p w14:paraId="0CC052D7" w14:textId="77777777" w:rsidR="00AC2B24" w:rsidRDefault="00AC2B24" w:rsidP="00AC2B24">
      <w:pPr>
        <w:pStyle w:val="GG-body"/>
        <w:ind w:left="1049" w:hanging="340"/>
      </w:pPr>
      <w:r>
        <w:t>(vi)</w:t>
      </w:r>
      <w:r>
        <w:tab/>
        <w:t>FRDC Project 2023-091—Snapper Science Program Theme 2—Estimates of Biomass</w:t>
      </w:r>
    </w:p>
    <w:p w14:paraId="4936CAEF" w14:textId="77777777" w:rsidR="00AC2B24" w:rsidRDefault="00AC2B24" w:rsidP="00AC2B24">
      <w:pPr>
        <w:pStyle w:val="GG-body"/>
        <w:ind w:left="1049" w:hanging="340"/>
      </w:pPr>
      <w:r>
        <w:t>(vii)</w:t>
      </w:r>
      <w:r>
        <w:tab/>
        <w:t>FRDC Project 2024-087—Snapper Science Program Theme 3—Monitoring and Assessment.</w:t>
      </w:r>
    </w:p>
    <w:p w14:paraId="561421F1" w14:textId="77777777" w:rsidR="00AC2B24" w:rsidRDefault="00AC2B24" w:rsidP="00AC2B24">
      <w:pPr>
        <w:pStyle w:val="GG-body"/>
        <w:ind w:left="709" w:hanging="283"/>
      </w:pPr>
      <w:r>
        <w:t>(c)</w:t>
      </w:r>
      <w:r>
        <w:tab/>
        <w:t xml:space="preserve">The Gulf St. Vincent and Kangaroo Island Fishing Zone, Spencer Gulf Fishing Zone and West Coast Fishing Zone have the same respective meanings as in the </w:t>
      </w:r>
      <w:r w:rsidRPr="00A654E4">
        <w:rPr>
          <w:i/>
          <w:iCs/>
        </w:rPr>
        <w:t>Fisheries Management (Marine Scalefish Fishery) Regulations 2017</w:t>
      </w:r>
      <w:r>
        <w:t xml:space="preserve">. </w:t>
      </w:r>
    </w:p>
    <w:p w14:paraId="5D6702B3" w14:textId="77777777" w:rsidR="00AC2B24" w:rsidRDefault="00AC2B24" w:rsidP="00AC2B24">
      <w:pPr>
        <w:pStyle w:val="GG-body"/>
        <w:ind w:left="709" w:hanging="283"/>
      </w:pPr>
      <w:r>
        <w:t>(d)</w:t>
      </w:r>
      <w:r>
        <w:tab/>
        <w:t xml:space="preserve">The Port Adelaide River estuary means all waters of the Port Adelaide River estuary contained within and bounded by a line </w:t>
      </w:r>
      <w:r w:rsidRPr="004463F2">
        <w:rPr>
          <w:spacing w:val="-2"/>
        </w:rPr>
        <w:t>commencing at the line of Mean High Water Springs closest to 34°40ʹ12.26ʺ South, 138°26ʹ35.25ʺ East (end of Port Gawler Road),</w:t>
      </w:r>
      <w:r>
        <w:t xml:space="preserve"> then beginning easterly following the line of Mean High Water Springs, including West Lakes, North Arm and tributaries, to the location closest to 34°46ʹ59.03ʺ South, 138°28ʹ40.48ʺ East, then north-westerly to the point of commencement, but excluding any land or waters so encompassed that lie landward of the line of Mean High Water Springs.</w:t>
      </w:r>
    </w:p>
    <w:p w14:paraId="53DF794C" w14:textId="77777777" w:rsidR="00AC2B24" w:rsidRDefault="00AC2B24" w:rsidP="00AC2B24">
      <w:pPr>
        <w:pStyle w:val="GG-SDated"/>
      </w:pPr>
      <w:r>
        <w:t>Dated: 30 June 2025</w:t>
      </w:r>
    </w:p>
    <w:p w14:paraId="3F3D4482" w14:textId="77777777" w:rsidR="00AC2B24" w:rsidRDefault="00AC2B24" w:rsidP="00AC2B24">
      <w:pPr>
        <w:pStyle w:val="GG-SName"/>
      </w:pPr>
      <w:r>
        <w:t>Professor Gavin Begg</w:t>
      </w:r>
    </w:p>
    <w:p w14:paraId="2C79F848" w14:textId="77777777" w:rsidR="00AC2B24" w:rsidRDefault="00AC2B24" w:rsidP="00AC2B24">
      <w:pPr>
        <w:pStyle w:val="GG-Signature"/>
      </w:pPr>
      <w:r>
        <w:t>Executive Director</w:t>
      </w:r>
    </w:p>
    <w:p w14:paraId="5E36BFD1" w14:textId="77777777" w:rsidR="00AC2B24" w:rsidRDefault="00AC2B24" w:rsidP="00AC2B24">
      <w:pPr>
        <w:pStyle w:val="GG-Signature"/>
      </w:pPr>
      <w:r>
        <w:t>Fisheries and Aquaculture</w:t>
      </w:r>
    </w:p>
    <w:p w14:paraId="7F7F19EB" w14:textId="6DDB0485" w:rsidR="00AC2B24" w:rsidRDefault="00AC2B24" w:rsidP="00FD5A99">
      <w:pPr>
        <w:pStyle w:val="GG-Signature"/>
      </w:pPr>
      <w:r>
        <w:t>Delegate of the Minister for Primary Industries and Regional Development</w:t>
      </w:r>
    </w:p>
    <w:p w14:paraId="4738C6CB" w14:textId="77777777" w:rsidR="00FD5A99" w:rsidRDefault="00FD5A99" w:rsidP="00FD5A99">
      <w:pPr>
        <w:pStyle w:val="GG-Signature"/>
        <w:pBdr>
          <w:bottom w:val="single" w:sz="4" w:space="1" w:color="auto"/>
        </w:pBdr>
        <w:spacing w:line="52" w:lineRule="exact"/>
        <w:jc w:val="center"/>
      </w:pPr>
    </w:p>
    <w:p w14:paraId="73B00C1F" w14:textId="77777777" w:rsidR="00FD5A99" w:rsidRDefault="00FD5A99" w:rsidP="00FD5A99">
      <w:pPr>
        <w:pStyle w:val="GG-Signature"/>
        <w:pBdr>
          <w:top w:val="single" w:sz="4" w:space="1" w:color="auto"/>
        </w:pBdr>
        <w:spacing w:before="34" w:line="14" w:lineRule="exact"/>
        <w:jc w:val="center"/>
      </w:pPr>
    </w:p>
    <w:p w14:paraId="4F7FF665" w14:textId="77777777" w:rsidR="00FD5A99" w:rsidRPr="00D00277" w:rsidRDefault="00FD5A99" w:rsidP="00D00277">
      <w:pPr>
        <w:pStyle w:val="NoSpace"/>
      </w:pPr>
    </w:p>
    <w:p w14:paraId="640F2A77" w14:textId="3F7E3074" w:rsidR="00AC2B24" w:rsidRPr="00AC08D6" w:rsidRDefault="00AC08D6" w:rsidP="00AC08D6">
      <w:pPr>
        <w:pStyle w:val="Heading2"/>
      </w:pPr>
      <w:bookmarkStart w:id="2" w:name="_Toc202266562"/>
      <w:r w:rsidRPr="00AC08D6">
        <w:t>Fisheries Management Act 2007</w:t>
      </w:r>
      <w:bookmarkEnd w:id="2"/>
    </w:p>
    <w:p w14:paraId="34DCF33E" w14:textId="77777777" w:rsidR="00AC2B24" w:rsidRDefault="00AC2B24" w:rsidP="00AC2B24">
      <w:pPr>
        <w:pStyle w:val="GG-Title2"/>
      </w:pPr>
      <w:r>
        <w:t>Section 115</w:t>
      </w:r>
    </w:p>
    <w:p w14:paraId="1B6C6D77" w14:textId="77777777" w:rsidR="00AC2B24" w:rsidRDefault="00AC2B24" w:rsidP="00AC2B24">
      <w:pPr>
        <w:pStyle w:val="GG-Title3"/>
        <w:spacing w:after="0"/>
      </w:pPr>
      <w:r>
        <w:t>Ministerial Exemption ME9903378—</w:t>
      </w:r>
    </w:p>
    <w:p w14:paraId="29B01CD6" w14:textId="77777777" w:rsidR="00AC2B24" w:rsidRDefault="00AC2B24" w:rsidP="00AC2B24">
      <w:pPr>
        <w:pStyle w:val="GG-Title3"/>
      </w:pPr>
      <w:r>
        <w:t>Exemption for SARDI Employees and Specified Affiliates</w:t>
      </w:r>
    </w:p>
    <w:p w14:paraId="644F16D4" w14:textId="77777777" w:rsidR="00AC2B24" w:rsidRDefault="00AC2B24" w:rsidP="00AC2B24">
      <w:pPr>
        <w:pStyle w:val="GG-body"/>
      </w:pPr>
      <w:r>
        <w:t xml:space="preserve">Take notice that pursuant to Section 115 of the </w:t>
      </w:r>
      <w:r w:rsidRPr="00503CC2">
        <w:rPr>
          <w:i/>
          <w:iCs/>
        </w:rPr>
        <w:t>Fisheries Management Act 2007</w:t>
      </w:r>
      <w:r>
        <w:t xml:space="preserve">, the Research Director, South Australian Research </w:t>
      </w:r>
      <w:r>
        <w:br/>
        <w:t xml:space="preserve">and Development Institute (SARDI), Aquatic and Livestock Sciences, (hereinafter referred to as the “exemption holder”) and scientists and technical staff employed by the Department of Primary Industries and Regions (PIRSA) and substantively engaged by SARDI </w:t>
      </w:r>
      <w:r w:rsidRPr="00503CC2">
        <w:rPr>
          <w:spacing w:val="-2"/>
        </w:rPr>
        <w:t>(“agents”) and Specified Affiliates of SARDI as defined in this notice, are exempt from Sections 52, 70, 71, 72(2)(c), 73, 74(1)(b) and 79(9)</w:t>
      </w:r>
      <w:r>
        <w:t xml:space="preserve"> of the </w:t>
      </w:r>
      <w:r w:rsidRPr="00503CC2">
        <w:rPr>
          <w:i/>
          <w:iCs/>
        </w:rPr>
        <w:t>Fisheries Management Act 2007</w:t>
      </w:r>
      <w:r>
        <w:t xml:space="preserve">, while undertaking the research activities directly required to support the administration of the </w:t>
      </w:r>
      <w:r w:rsidRPr="00503CC2">
        <w:rPr>
          <w:i/>
          <w:iCs/>
        </w:rPr>
        <w:t>Fisheries Management Act 2007</w:t>
      </w:r>
      <w:r>
        <w:t xml:space="preserve"> listed in Schedule 2 (the “exempted activity”), subject to the conditions specified in Schedule 1, from </w:t>
      </w:r>
      <w:r>
        <w:br/>
        <w:t>1 July 2025 until 30 June 2026 unless varied or revoked earlier.</w:t>
      </w:r>
    </w:p>
    <w:p w14:paraId="492BC218" w14:textId="77777777" w:rsidR="00AC2B24" w:rsidRDefault="00AC2B24" w:rsidP="00AC2B24">
      <w:pPr>
        <w:pStyle w:val="GG-Title2"/>
      </w:pPr>
      <w:r>
        <w:t>Schedule 1</w:t>
      </w:r>
    </w:p>
    <w:p w14:paraId="2EC1EEF5" w14:textId="77777777" w:rsidR="00AC2B24" w:rsidRDefault="00AC2B24" w:rsidP="00AC2B24">
      <w:pPr>
        <w:pStyle w:val="GG-body"/>
        <w:numPr>
          <w:ilvl w:val="0"/>
          <w:numId w:val="4"/>
        </w:numPr>
        <w:ind w:left="284" w:hanging="284"/>
      </w:pPr>
      <w:r>
        <w:t xml:space="preserve">All activities undertaken under this notice must only be for the purposes of the research activities listed in Schedule 2 and directly related to the administration of the </w:t>
      </w:r>
      <w:r w:rsidRPr="00503CC2">
        <w:rPr>
          <w:i/>
          <w:iCs/>
        </w:rPr>
        <w:t>Fisheries Management Act 2007</w:t>
      </w:r>
      <w:r>
        <w:t>.</w:t>
      </w:r>
    </w:p>
    <w:p w14:paraId="60F8F77B" w14:textId="77777777" w:rsidR="00AC2B24" w:rsidRDefault="00AC2B24" w:rsidP="00AC2B24">
      <w:pPr>
        <w:pStyle w:val="GG-body"/>
        <w:numPr>
          <w:ilvl w:val="0"/>
          <w:numId w:val="4"/>
        </w:numPr>
        <w:ind w:left="284" w:hanging="284"/>
      </w:pPr>
      <w:r>
        <w:t>Research activities undertaken pursuant to this notice may be undertaken within all waters of the State excluding:</w:t>
      </w:r>
    </w:p>
    <w:p w14:paraId="4A3B18A7" w14:textId="77777777" w:rsidR="00AC2B24" w:rsidRDefault="00AC2B24" w:rsidP="00AC2B24">
      <w:pPr>
        <w:pStyle w:val="GG-body"/>
        <w:numPr>
          <w:ilvl w:val="0"/>
          <w:numId w:val="5"/>
        </w:numPr>
        <w:ind w:left="567" w:hanging="284"/>
      </w:pPr>
      <w:r>
        <w:t xml:space="preserve">Sanctuary and restricted access zones of marine parks (unless otherwise authorised under the </w:t>
      </w:r>
      <w:r w:rsidRPr="00F028F8">
        <w:rPr>
          <w:i/>
          <w:iCs/>
        </w:rPr>
        <w:t>Marine Parks Act 2007</w:t>
      </w:r>
      <w:r>
        <w:t>)</w:t>
      </w:r>
    </w:p>
    <w:p w14:paraId="582D98E1" w14:textId="77777777" w:rsidR="00AC2B24" w:rsidRDefault="00AC2B24" w:rsidP="00AC2B24">
      <w:pPr>
        <w:pStyle w:val="GG-body"/>
        <w:numPr>
          <w:ilvl w:val="0"/>
          <w:numId w:val="5"/>
        </w:numPr>
        <w:ind w:left="567" w:hanging="284"/>
      </w:pPr>
      <w:r>
        <w:t xml:space="preserve">Aquatic reserves (unless otherwise authorised under the </w:t>
      </w:r>
      <w:r w:rsidRPr="00F028F8">
        <w:rPr>
          <w:i/>
          <w:iCs/>
        </w:rPr>
        <w:t>Fisheries</w:t>
      </w:r>
      <w:r>
        <w:rPr>
          <w:i/>
          <w:iCs/>
        </w:rPr>
        <w:t xml:space="preserve"> </w:t>
      </w:r>
      <w:r w:rsidRPr="00F028F8">
        <w:rPr>
          <w:i/>
          <w:iCs/>
        </w:rPr>
        <w:t>Management Act 2007</w:t>
      </w:r>
      <w:r>
        <w:t>).</w:t>
      </w:r>
    </w:p>
    <w:p w14:paraId="684EE440" w14:textId="77777777" w:rsidR="00AC2B24" w:rsidRPr="00BE5110" w:rsidRDefault="00AC2B24" w:rsidP="00AC2B24">
      <w:pPr>
        <w:pStyle w:val="GG-body"/>
        <w:numPr>
          <w:ilvl w:val="0"/>
          <w:numId w:val="4"/>
        </w:numPr>
        <w:ind w:left="284" w:hanging="284"/>
      </w:pPr>
      <w:r w:rsidRPr="00BE5110">
        <w:t>The exemption holder or agents may take any species of fish using any type of device reasonably required to undertake the research activities identified in Schedule 2, other than explosives, from the waters of the State as described in condition 2 of this notice.</w:t>
      </w:r>
    </w:p>
    <w:p w14:paraId="35975666" w14:textId="77777777" w:rsidR="00AC2B24" w:rsidRDefault="00AC2B24" w:rsidP="00AC2B24">
      <w:pPr>
        <w:pStyle w:val="GG-body"/>
        <w:numPr>
          <w:ilvl w:val="0"/>
          <w:numId w:val="4"/>
        </w:numPr>
        <w:ind w:left="284" w:hanging="284"/>
      </w:pPr>
      <w:r>
        <w:t>Vessels, vehicles and research equipment used to undertake research activities under this exemption must be clearly identifiable as belonging to SARDI. Where possible when undertaking the exempted activities, all persons should be clearly identifiable as SARDI staff or affiliates.</w:t>
      </w:r>
    </w:p>
    <w:p w14:paraId="09DA5728" w14:textId="77777777" w:rsidR="00AC2B24" w:rsidRDefault="00AC2B24" w:rsidP="00AC2B24">
      <w:pPr>
        <w:pStyle w:val="GG-body"/>
        <w:numPr>
          <w:ilvl w:val="0"/>
          <w:numId w:val="4"/>
        </w:numPr>
        <w:ind w:left="284" w:hanging="284"/>
      </w:pPr>
      <w:r>
        <w:t xml:space="preserve">The exemption holder must not contravene or fail to comply with any provision of the </w:t>
      </w:r>
      <w:r w:rsidRPr="0001196A">
        <w:rPr>
          <w:i/>
          <w:iCs/>
        </w:rPr>
        <w:t>Fisheries Management Act 2007</w:t>
      </w:r>
      <w:r>
        <w:t xml:space="preserve"> or any regulations made under that Act, except where specifically exempted by this notice.</w:t>
      </w:r>
    </w:p>
    <w:p w14:paraId="184E53AE" w14:textId="77777777" w:rsidR="00AC2B24" w:rsidRDefault="00AC2B24" w:rsidP="00AC2B24">
      <w:pPr>
        <w:pStyle w:val="GG-body"/>
        <w:numPr>
          <w:ilvl w:val="0"/>
          <w:numId w:val="4"/>
        </w:numPr>
        <w:ind w:left="284" w:hanging="284"/>
      </w:pPr>
      <w:r>
        <w:t>The exemption holder will be deemed responsible for the conduct of all persons undertaking the research activities under this notice. Any person conducting research activities under this exemption must have been provided with a copy of this notice and have signed it to confirm that they have read, understood it, and agreed to act in accordance with the conditions under it.</w:t>
      </w:r>
    </w:p>
    <w:p w14:paraId="0FECEBE4" w14:textId="77777777" w:rsidR="00AC2B24" w:rsidRDefault="00AC2B24" w:rsidP="00AC2B24">
      <w:pPr>
        <w:pStyle w:val="GG-body"/>
        <w:numPr>
          <w:ilvl w:val="0"/>
          <w:numId w:val="4"/>
        </w:numPr>
        <w:ind w:left="284" w:hanging="284"/>
      </w:pPr>
      <w:r>
        <w:t>The exemption holder and agents, whilst engaged in research activities pursuant to this exemption, must carry an identification card issued by SARDI.</w:t>
      </w:r>
    </w:p>
    <w:p w14:paraId="0F224DB7" w14:textId="77777777" w:rsidR="00AC2B24" w:rsidRDefault="00AC2B24" w:rsidP="00AC2B24">
      <w:pPr>
        <w:pStyle w:val="GG-body"/>
        <w:numPr>
          <w:ilvl w:val="0"/>
          <w:numId w:val="4"/>
        </w:numPr>
        <w:ind w:left="284" w:hanging="284"/>
      </w:pPr>
      <w:r>
        <w:t>In this exemption, Specified Affiliates of SARDI includes commercial fishing licence holders, independent contractors, research students, volunteers and other affiliates, provided the following additional conditions are met:</w:t>
      </w:r>
    </w:p>
    <w:p w14:paraId="320C2EB0" w14:textId="77777777" w:rsidR="00AC2B24" w:rsidRDefault="00AC2B24" w:rsidP="00AC2B24">
      <w:pPr>
        <w:pStyle w:val="GG-body"/>
        <w:ind w:left="426" w:hanging="142"/>
      </w:pPr>
      <w:r>
        <w:t>•</w:t>
      </w:r>
      <w:r>
        <w:tab/>
        <w:t xml:space="preserve">At least 1 clear business day (the “consideration period”) prior to undertaking the exempted activity the exemption holder (or his delegate) notifies the Fisheries Regional Manager in writing of the names of the affiliates that will be undertaking the exempted activity together with any other identifying information about the affiliates that may be specifically required from time to time by email to </w:t>
      </w:r>
      <w:hyperlink r:id="rId20" w:history="1">
        <w:r w:rsidRPr="007451A8">
          <w:rPr>
            <w:rStyle w:val="Hyperlink"/>
          </w:rPr>
          <w:t>PIRSA.FisheriesOperationalManagement@sa.gov.au</w:t>
        </w:r>
      </w:hyperlink>
      <w:r>
        <w:t>; and</w:t>
      </w:r>
    </w:p>
    <w:p w14:paraId="1867DB2D" w14:textId="77777777" w:rsidR="00AC2B24" w:rsidRDefault="00AC2B24" w:rsidP="00AC2B24">
      <w:pPr>
        <w:pStyle w:val="GG-body"/>
        <w:ind w:left="426" w:hanging="142"/>
      </w:pPr>
      <w:r>
        <w:t>•</w:t>
      </w:r>
      <w:r>
        <w:tab/>
        <w:t>No objection is taken to the affiliates nominated by SARDI during the consideration period (with any such objection being communicated to the exemption holder).</w:t>
      </w:r>
    </w:p>
    <w:p w14:paraId="634FFA87" w14:textId="77777777" w:rsidR="00AC2B24" w:rsidRDefault="00AC2B24" w:rsidP="00AC2B24">
      <w:pPr>
        <w:pStyle w:val="GG-body"/>
        <w:numPr>
          <w:ilvl w:val="0"/>
          <w:numId w:val="4"/>
        </w:numPr>
        <w:ind w:left="284" w:hanging="284"/>
      </w:pPr>
      <w:r>
        <w:lastRenderedPageBreak/>
        <w:t>At least 1 hour before conducting the exempted activity, the exemption holder or her/his agent must contact PIRSA Fishwatch on 1800 065 522 and answer a series of questions about the exempted activity. The exemption holder or agent will need to have a copy of this notice in their possession at the time of making the call and be able to provide information about the particular project and who will be involved in the exempted activity, including area and time of the exempted activity, the vehicles and/or boats involved, and other related information.</w:t>
      </w:r>
    </w:p>
    <w:p w14:paraId="0E4AFB31" w14:textId="77777777" w:rsidR="00AC2B24" w:rsidRDefault="00AC2B24" w:rsidP="00AC2B24">
      <w:pPr>
        <w:pStyle w:val="GG-body"/>
        <w:numPr>
          <w:ilvl w:val="0"/>
          <w:numId w:val="4"/>
        </w:numPr>
        <w:ind w:left="284" w:hanging="284"/>
      </w:pPr>
      <w:r>
        <w:t>Before commencing any exempted activity under this notice within the Adelaide Dolphin Sanctuary, the exemption holder or her/his agents must provide notification of intended dates and times of the activity to:</w:t>
      </w:r>
    </w:p>
    <w:p w14:paraId="6D933AB9" w14:textId="77777777" w:rsidR="00AC2B24" w:rsidRDefault="00AC2B24" w:rsidP="00AC2B24">
      <w:pPr>
        <w:pStyle w:val="GG-body"/>
        <w:ind w:left="426" w:hanging="142"/>
      </w:pPr>
      <w:r>
        <w:t>•</w:t>
      </w:r>
      <w:r>
        <w:tab/>
        <w:t xml:space="preserve">Jon Emmett, Regional Coordinator Marine Parks: </w:t>
      </w:r>
      <w:hyperlink r:id="rId21" w:history="1">
        <w:r w:rsidRPr="007451A8">
          <w:rPr>
            <w:rStyle w:val="Hyperlink"/>
          </w:rPr>
          <w:t>jon.emmett@sa.gov.au</w:t>
        </w:r>
      </w:hyperlink>
    </w:p>
    <w:p w14:paraId="4440C6B0" w14:textId="77777777" w:rsidR="00AC2B24" w:rsidRDefault="00AC2B24" w:rsidP="00AC2B24">
      <w:pPr>
        <w:pStyle w:val="GG-body"/>
        <w:numPr>
          <w:ilvl w:val="0"/>
          <w:numId w:val="4"/>
        </w:numPr>
        <w:ind w:left="284" w:hanging="284"/>
      </w:pPr>
      <w:r>
        <w:t>Any person engaging in the exempted activity under this notice, must be in possession of a copy of this exemption. The copy must be produced to a PIRSA Fisheries Officer if requested.</w:t>
      </w:r>
    </w:p>
    <w:p w14:paraId="041334F8" w14:textId="77777777" w:rsidR="00AC2B24" w:rsidRDefault="00AC2B24" w:rsidP="00AC2B24">
      <w:pPr>
        <w:pStyle w:val="GG-body"/>
        <w:numPr>
          <w:ilvl w:val="0"/>
          <w:numId w:val="4"/>
        </w:numPr>
        <w:ind w:left="284" w:hanging="284"/>
      </w:pPr>
      <w:r>
        <w:t>The exemption holder must cause records to be kept of the names of all affiliates used under the exemptions for each project and when they were engaged in research activities pursuant to this notice.</w:t>
      </w:r>
    </w:p>
    <w:p w14:paraId="6FE3B833" w14:textId="77777777" w:rsidR="00AC2B24" w:rsidRDefault="00AC2B24" w:rsidP="00AC2B24">
      <w:pPr>
        <w:pStyle w:val="GG-Title2"/>
      </w:pPr>
      <w:r>
        <w:t>Schedule 2</w:t>
      </w:r>
    </w:p>
    <w:p w14:paraId="0E1E7FE1" w14:textId="77777777" w:rsidR="00AC2B24" w:rsidRPr="0001196A" w:rsidRDefault="00AC2B24" w:rsidP="00AC2B24">
      <w:pPr>
        <w:pStyle w:val="GG-body"/>
        <w:rPr>
          <w:b/>
          <w:bCs/>
        </w:rPr>
      </w:pPr>
      <w:r w:rsidRPr="0001196A">
        <w:rPr>
          <w:b/>
          <w:bCs/>
        </w:rPr>
        <w:t>Research Projects—Service Level Agreements</w:t>
      </w:r>
    </w:p>
    <w:p w14:paraId="431C9E40" w14:textId="77777777" w:rsidR="00AC2B24" w:rsidRDefault="00AC2B24" w:rsidP="00AC2B24">
      <w:pPr>
        <w:pStyle w:val="GG-body"/>
        <w:ind w:left="426" w:hanging="284"/>
      </w:pPr>
      <w:r>
        <w:t>1.</w:t>
      </w:r>
      <w:r>
        <w:tab/>
        <w:t>South Australian Central Zone Abalone Fishery</w:t>
      </w:r>
    </w:p>
    <w:p w14:paraId="3BEFC9FA" w14:textId="77777777" w:rsidR="00AC2B24" w:rsidRDefault="00AC2B24" w:rsidP="00AC2B24">
      <w:pPr>
        <w:pStyle w:val="GG-body"/>
        <w:ind w:left="426" w:hanging="284"/>
      </w:pPr>
      <w:r>
        <w:t>2.</w:t>
      </w:r>
      <w:r>
        <w:tab/>
        <w:t>South Australian Southern Zone Abalone Fishery</w:t>
      </w:r>
    </w:p>
    <w:p w14:paraId="792455A8" w14:textId="77777777" w:rsidR="00AC2B24" w:rsidRDefault="00AC2B24" w:rsidP="00AC2B24">
      <w:pPr>
        <w:pStyle w:val="GG-body"/>
        <w:ind w:left="426" w:hanging="284"/>
      </w:pPr>
      <w:r>
        <w:t>3.</w:t>
      </w:r>
      <w:r>
        <w:tab/>
        <w:t>South Australian Western Zone Abalone Fishery</w:t>
      </w:r>
    </w:p>
    <w:p w14:paraId="01F70612" w14:textId="77777777" w:rsidR="00AC2B24" w:rsidRDefault="00AC2B24" w:rsidP="00AC2B24">
      <w:pPr>
        <w:pStyle w:val="GG-body"/>
        <w:ind w:left="426" w:hanging="284"/>
      </w:pPr>
      <w:r>
        <w:t>4.</w:t>
      </w:r>
      <w:r>
        <w:tab/>
        <w:t>South Australian Blue Crab Fishery</w:t>
      </w:r>
    </w:p>
    <w:p w14:paraId="7CB093B6" w14:textId="77777777" w:rsidR="00AC2B24" w:rsidRDefault="00AC2B24" w:rsidP="00AC2B24">
      <w:pPr>
        <w:pStyle w:val="GG-body"/>
        <w:ind w:left="426" w:hanging="284"/>
      </w:pPr>
      <w:r>
        <w:t>5.</w:t>
      </w:r>
      <w:r>
        <w:tab/>
        <w:t>Lakes and Coorong Finfish Fishery</w:t>
      </w:r>
    </w:p>
    <w:p w14:paraId="1D1FAFA6" w14:textId="77777777" w:rsidR="00AC2B24" w:rsidRDefault="00AC2B24" w:rsidP="00AC2B24">
      <w:pPr>
        <w:pStyle w:val="GG-body"/>
        <w:ind w:left="426" w:hanging="284"/>
      </w:pPr>
      <w:r>
        <w:t>6.</w:t>
      </w:r>
      <w:r>
        <w:tab/>
        <w:t>Lakes and Coorong Pipi Fishery</w:t>
      </w:r>
    </w:p>
    <w:p w14:paraId="63A22787" w14:textId="77777777" w:rsidR="00AC2B24" w:rsidRDefault="00AC2B24" w:rsidP="00AC2B24">
      <w:pPr>
        <w:pStyle w:val="GG-body"/>
        <w:ind w:left="426" w:hanging="284"/>
      </w:pPr>
      <w:r>
        <w:t>7.</w:t>
      </w:r>
      <w:r>
        <w:tab/>
        <w:t>Marine Scalefish Fishery (inc. Snapper stock assessments)</w:t>
      </w:r>
    </w:p>
    <w:p w14:paraId="5ED35709" w14:textId="77777777" w:rsidR="00AC2B24" w:rsidRDefault="00AC2B24" w:rsidP="00AC2B24">
      <w:pPr>
        <w:pStyle w:val="GG-body"/>
        <w:ind w:left="426" w:hanging="284"/>
      </w:pPr>
      <w:r>
        <w:t>8.</w:t>
      </w:r>
      <w:r>
        <w:tab/>
        <w:t>South Australian Rock Lobster Fishery (Northern Zone and Southern Zone)</w:t>
      </w:r>
    </w:p>
    <w:p w14:paraId="6CBECACF" w14:textId="77777777" w:rsidR="00AC2B24" w:rsidRDefault="00AC2B24" w:rsidP="00AC2B24">
      <w:pPr>
        <w:pStyle w:val="GG-body"/>
        <w:ind w:left="426" w:hanging="284"/>
      </w:pPr>
      <w:r>
        <w:t>9.</w:t>
      </w:r>
      <w:r>
        <w:tab/>
        <w:t>Sardine Fishery</w:t>
      </w:r>
    </w:p>
    <w:p w14:paraId="6E775F88" w14:textId="77777777" w:rsidR="00AC2B24" w:rsidRDefault="00AC2B24" w:rsidP="00AC2B24">
      <w:pPr>
        <w:pStyle w:val="GG-body"/>
        <w:ind w:left="426" w:hanging="284"/>
      </w:pPr>
      <w:r>
        <w:t>10.</w:t>
      </w:r>
      <w:r>
        <w:tab/>
        <w:t>Gulf St Vincent Prawn Fishery</w:t>
      </w:r>
    </w:p>
    <w:p w14:paraId="7498D9D1" w14:textId="77777777" w:rsidR="00AC2B24" w:rsidRDefault="00AC2B24" w:rsidP="00AC2B24">
      <w:pPr>
        <w:pStyle w:val="GG-body"/>
        <w:ind w:left="426" w:hanging="284"/>
      </w:pPr>
      <w:r>
        <w:t>11.</w:t>
      </w:r>
      <w:r>
        <w:tab/>
        <w:t>Spencer Gulf Prawn Fishery</w:t>
      </w:r>
    </w:p>
    <w:p w14:paraId="26E9190B" w14:textId="77777777" w:rsidR="00AC2B24" w:rsidRDefault="00AC2B24" w:rsidP="00AC2B24">
      <w:pPr>
        <w:pStyle w:val="GG-body"/>
        <w:ind w:left="426" w:hanging="284"/>
      </w:pPr>
      <w:r>
        <w:t>12.</w:t>
      </w:r>
      <w:r>
        <w:tab/>
        <w:t>West Coast Prawn Fishery</w:t>
      </w:r>
    </w:p>
    <w:p w14:paraId="5772870C" w14:textId="77777777" w:rsidR="00AC2B24" w:rsidRDefault="00AC2B24" w:rsidP="00AC2B24">
      <w:pPr>
        <w:pStyle w:val="GG-body"/>
        <w:ind w:left="426" w:hanging="284"/>
      </w:pPr>
      <w:r>
        <w:t>13.</w:t>
      </w:r>
      <w:r>
        <w:tab/>
        <w:t>South Australian Mud Cockle (Vongole Fishery—Coffin Bay)</w:t>
      </w:r>
    </w:p>
    <w:p w14:paraId="5FB3BF35" w14:textId="77777777" w:rsidR="00AC2B24" w:rsidRDefault="00AC2B24" w:rsidP="00AC2B24">
      <w:pPr>
        <w:pStyle w:val="GG-body"/>
        <w:ind w:left="426" w:hanging="284"/>
      </w:pPr>
      <w:r>
        <w:t>14.</w:t>
      </w:r>
      <w:r>
        <w:tab/>
        <w:t>South Australian Mud Cockle (Vongole Fishery—West Coast)</w:t>
      </w:r>
    </w:p>
    <w:p w14:paraId="0DBB4B05" w14:textId="77777777" w:rsidR="00AC2B24" w:rsidRDefault="00AC2B24" w:rsidP="00AC2B24">
      <w:pPr>
        <w:pStyle w:val="GG-body"/>
        <w:ind w:left="426" w:hanging="284"/>
      </w:pPr>
      <w:r>
        <w:t>15.</w:t>
      </w:r>
      <w:r>
        <w:tab/>
        <w:t>Commercial Yabby Trap observer program 2023-26—Yabby and bycatch sampling</w:t>
      </w:r>
    </w:p>
    <w:p w14:paraId="6539AE78" w14:textId="77777777" w:rsidR="00AC2B24" w:rsidRDefault="00AC2B24" w:rsidP="00AC2B24">
      <w:pPr>
        <w:pStyle w:val="GG-body"/>
        <w:ind w:left="426" w:hanging="284"/>
      </w:pPr>
      <w:r>
        <w:t>16.</w:t>
      </w:r>
      <w:r>
        <w:tab/>
        <w:t>Fish survey and translocation in Lake George and Southeast region</w:t>
      </w:r>
    </w:p>
    <w:p w14:paraId="70E71F83" w14:textId="77777777" w:rsidR="00AC2B24" w:rsidRPr="0001196A" w:rsidRDefault="00AC2B24" w:rsidP="00AC2B24">
      <w:pPr>
        <w:pStyle w:val="GG-body"/>
        <w:rPr>
          <w:b/>
          <w:bCs/>
        </w:rPr>
      </w:pPr>
      <w:r w:rsidRPr="0001196A">
        <w:rPr>
          <w:b/>
          <w:bCs/>
        </w:rPr>
        <w:t>Research Projects—Fisheries Research and Development Corporation (FRDC)</w:t>
      </w:r>
    </w:p>
    <w:p w14:paraId="6DB0D056" w14:textId="77777777" w:rsidR="00AC2B24" w:rsidRDefault="00AC2B24" w:rsidP="00AC2B24">
      <w:pPr>
        <w:pStyle w:val="GG-body"/>
        <w:ind w:left="426" w:hanging="284"/>
      </w:pPr>
      <w:r>
        <w:t>1.</w:t>
      </w:r>
      <w:r>
        <w:tab/>
        <w:t>FRDC 2022—041—Vongole translocation assessment project</w:t>
      </w:r>
    </w:p>
    <w:p w14:paraId="333554E0" w14:textId="77777777" w:rsidR="00AC2B24" w:rsidRDefault="00AC2B24" w:rsidP="00AC2B24">
      <w:pPr>
        <w:pStyle w:val="GG-body"/>
        <w:ind w:left="426" w:hanging="284"/>
      </w:pPr>
      <w:r>
        <w:t>2.</w:t>
      </w:r>
      <w:r>
        <w:tab/>
        <w:t>FRDC 2023—039—Prawn trawl selectivity—device trials</w:t>
      </w:r>
    </w:p>
    <w:p w14:paraId="2005E2EE" w14:textId="77777777" w:rsidR="00AC2B24" w:rsidRDefault="00AC2B24" w:rsidP="00AC2B24">
      <w:pPr>
        <w:pStyle w:val="GG-body"/>
        <w:ind w:left="426" w:hanging="284"/>
      </w:pPr>
      <w:r>
        <w:t>3.</w:t>
      </w:r>
      <w:r>
        <w:tab/>
        <w:t>FRDC 2023—085—Snapper Science Program—Biology and Ecology</w:t>
      </w:r>
    </w:p>
    <w:p w14:paraId="1CDF77DD" w14:textId="77777777" w:rsidR="00AC2B24" w:rsidRDefault="00AC2B24" w:rsidP="00AC2B24">
      <w:pPr>
        <w:pStyle w:val="GG-body"/>
        <w:ind w:left="426" w:hanging="284"/>
      </w:pPr>
      <w:r>
        <w:t>4.</w:t>
      </w:r>
      <w:r>
        <w:tab/>
        <w:t>FRDC 2023—091—Snapper Science Program—Estimates and Biomass</w:t>
      </w:r>
    </w:p>
    <w:p w14:paraId="440623FD" w14:textId="77777777" w:rsidR="00AC2B24" w:rsidRDefault="00AC2B24" w:rsidP="00AC2B24">
      <w:pPr>
        <w:pStyle w:val="GG-body"/>
        <w:ind w:left="426" w:hanging="284"/>
      </w:pPr>
      <w:r>
        <w:t>5.</w:t>
      </w:r>
      <w:r>
        <w:tab/>
        <w:t>FRDC 2024—087—Snapper Science Program—Monitoring and Assessment</w:t>
      </w:r>
    </w:p>
    <w:p w14:paraId="3A9F7E6C" w14:textId="77777777" w:rsidR="00AC2B24" w:rsidRPr="0001196A" w:rsidRDefault="00AC2B24" w:rsidP="00AC2B24">
      <w:pPr>
        <w:pStyle w:val="GG-body"/>
        <w:rPr>
          <w:b/>
          <w:bCs/>
        </w:rPr>
      </w:pPr>
      <w:r w:rsidRPr="0001196A">
        <w:rPr>
          <w:b/>
          <w:bCs/>
        </w:rPr>
        <w:t>Research Projects—External Other</w:t>
      </w:r>
    </w:p>
    <w:p w14:paraId="13C1C317" w14:textId="77777777" w:rsidR="00AC2B24" w:rsidRDefault="00AC2B24" w:rsidP="00AC2B24">
      <w:pPr>
        <w:pStyle w:val="GG-body"/>
        <w:ind w:left="426" w:hanging="284"/>
      </w:pPr>
      <w:r>
        <w:t>1.</w:t>
      </w:r>
      <w:r>
        <w:tab/>
        <w:t>Marine pest identification and testing</w:t>
      </w:r>
    </w:p>
    <w:p w14:paraId="0B65F245" w14:textId="77777777" w:rsidR="00AC2B24" w:rsidRDefault="00AC2B24" w:rsidP="00AC2B24">
      <w:pPr>
        <w:pStyle w:val="GG-body"/>
        <w:ind w:left="426" w:hanging="284"/>
      </w:pPr>
      <w:r>
        <w:t>2.</w:t>
      </w:r>
      <w:r>
        <w:tab/>
        <w:t>Marine pest surveys—analysis of plankton</w:t>
      </w:r>
    </w:p>
    <w:p w14:paraId="610BFB49" w14:textId="77777777" w:rsidR="00AC2B24" w:rsidRDefault="00AC2B24" w:rsidP="00AC2B24">
      <w:pPr>
        <w:pStyle w:val="GG-body"/>
        <w:ind w:left="426" w:hanging="284"/>
      </w:pPr>
      <w:r>
        <w:t>3.</w:t>
      </w:r>
      <w:r>
        <w:tab/>
        <w:t>Disease, parasite and treatment investigations</w:t>
      </w:r>
    </w:p>
    <w:p w14:paraId="23B3FE88" w14:textId="77777777" w:rsidR="00AC2B24" w:rsidRDefault="00AC2B24" w:rsidP="00AC2B24">
      <w:pPr>
        <w:pStyle w:val="GG-body"/>
        <w:ind w:left="426" w:hanging="284"/>
      </w:pPr>
      <w:r>
        <w:t>4.</w:t>
      </w:r>
      <w:r>
        <w:tab/>
        <w:t>New invasive species, parasite and disease investigations</w:t>
      </w:r>
    </w:p>
    <w:p w14:paraId="4B38672B" w14:textId="77777777" w:rsidR="00AC2B24" w:rsidRDefault="00AC2B24" w:rsidP="00AC2B24">
      <w:pPr>
        <w:pStyle w:val="GG-body"/>
        <w:ind w:left="426" w:hanging="284"/>
      </w:pPr>
      <w:r>
        <w:t>5.</w:t>
      </w:r>
      <w:r>
        <w:tab/>
        <w:t>Gulf St Vincent Seagrass rehabilitation</w:t>
      </w:r>
    </w:p>
    <w:p w14:paraId="4DDACC90" w14:textId="77777777" w:rsidR="00AC2B24" w:rsidRDefault="00AC2B24" w:rsidP="00AC2B24">
      <w:pPr>
        <w:pStyle w:val="GG-body"/>
        <w:ind w:left="426" w:hanging="284"/>
      </w:pPr>
      <w:r>
        <w:t>6.</w:t>
      </w:r>
      <w:r>
        <w:tab/>
        <w:t>CEWH Flow-MER fish monitoring and research</w:t>
      </w:r>
    </w:p>
    <w:p w14:paraId="5DE69863" w14:textId="77777777" w:rsidR="00AC2B24" w:rsidRDefault="00AC2B24" w:rsidP="00AC2B24">
      <w:pPr>
        <w:pStyle w:val="GG-body"/>
        <w:ind w:left="426" w:hanging="284"/>
      </w:pPr>
      <w:r>
        <w:t>7.</w:t>
      </w:r>
      <w:r>
        <w:tab/>
        <w:t xml:space="preserve">The Living Murray (TLM) Coorong fish monitoring </w:t>
      </w:r>
    </w:p>
    <w:p w14:paraId="7270F344" w14:textId="77777777" w:rsidR="00AC2B24" w:rsidRDefault="00AC2B24" w:rsidP="00AC2B24">
      <w:pPr>
        <w:pStyle w:val="GG-body"/>
        <w:ind w:left="426" w:hanging="284"/>
      </w:pPr>
      <w:r>
        <w:t>8.</w:t>
      </w:r>
      <w:r>
        <w:tab/>
        <w:t>Salt Creek and Morella fishway monitoring and investigations</w:t>
      </w:r>
    </w:p>
    <w:p w14:paraId="723167B8" w14:textId="77777777" w:rsidR="00AC2B24" w:rsidRDefault="00AC2B24" w:rsidP="00AC2B24">
      <w:pPr>
        <w:pStyle w:val="GG-body"/>
        <w:ind w:left="426" w:hanging="284"/>
      </w:pPr>
      <w:r>
        <w:t>9.</w:t>
      </w:r>
      <w:r>
        <w:tab/>
        <w:t>Murray Darling Basin (MDB) fish survey—Lower River Murray</w:t>
      </w:r>
    </w:p>
    <w:p w14:paraId="6C64ECF6" w14:textId="77777777" w:rsidR="00AC2B24" w:rsidRDefault="00AC2B24" w:rsidP="00AC2B24">
      <w:pPr>
        <w:pStyle w:val="GG-body"/>
        <w:ind w:left="426" w:hanging="284"/>
      </w:pPr>
      <w:r>
        <w:t>10.</w:t>
      </w:r>
      <w:r>
        <w:tab/>
        <w:t>Riverland Anabranch Fish Condition and Intervention Monitoring</w:t>
      </w:r>
    </w:p>
    <w:p w14:paraId="76E38197" w14:textId="77777777" w:rsidR="00AC2B24" w:rsidRDefault="00AC2B24" w:rsidP="00AC2B24">
      <w:pPr>
        <w:pStyle w:val="GG-body"/>
        <w:ind w:left="426" w:hanging="284"/>
      </w:pPr>
      <w:r>
        <w:t>11.</w:t>
      </w:r>
      <w:r>
        <w:tab/>
        <w:t>Fishway monitoring—River Murray weirs, anabranches and Murray Barrages</w:t>
      </w:r>
    </w:p>
    <w:p w14:paraId="10EF712C" w14:textId="77777777" w:rsidR="00AC2B24" w:rsidRDefault="00AC2B24" w:rsidP="00AC2B24">
      <w:pPr>
        <w:pStyle w:val="GG-body"/>
        <w:ind w:left="426" w:hanging="284"/>
      </w:pPr>
      <w:r>
        <w:t>12.</w:t>
      </w:r>
      <w:r>
        <w:tab/>
        <w:t>Movement and habitat use of Murray Cod in lower River Murray</w:t>
      </w:r>
    </w:p>
    <w:p w14:paraId="4CD56D71" w14:textId="77777777" w:rsidR="00AC2B24" w:rsidRDefault="00AC2B24" w:rsidP="00AC2B24">
      <w:pPr>
        <w:pStyle w:val="GG-body"/>
        <w:ind w:left="426" w:hanging="284"/>
      </w:pPr>
      <w:r>
        <w:t>13.</w:t>
      </w:r>
      <w:r>
        <w:tab/>
        <w:t>CLLMM Estuarine Connectivity</w:t>
      </w:r>
    </w:p>
    <w:p w14:paraId="32D45454" w14:textId="77777777" w:rsidR="00AC2B24" w:rsidRDefault="00AC2B24" w:rsidP="00AC2B24">
      <w:pPr>
        <w:pStyle w:val="GG-body"/>
        <w:ind w:left="426" w:hanging="284"/>
      </w:pPr>
      <w:r>
        <w:t>14.</w:t>
      </w:r>
      <w:r>
        <w:tab/>
        <w:t xml:space="preserve">Assessing Coorong food web and fish assemblages post flood </w:t>
      </w:r>
    </w:p>
    <w:p w14:paraId="16B3F0E9" w14:textId="77777777" w:rsidR="00AC2B24" w:rsidRDefault="00AC2B24" w:rsidP="00AC2B24">
      <w:pPr>
        <w:pStyle w:val="GG-body"/>
        <w:ind w:left="426" w:hanging="284"/>
      </w:pPr>
      <w:r>
        <w:t>15.</w:t>
      </w:r>
      <w:r>
        <w:tab/>
        <w:t>SA blue carbon ecosystem restoration fish and food web investigations</w:t>
      </w:r>
    </w:p>
    <w:p w14:paraId="102DDEAF" w14:textId="77777777" w:rsidR="00AC2B24" w:rsidRDefault="00AC2B24" w:rsidP="00AC2B24">
      <w:pPr>
        <w:pStyle w:val="GG-body"/>
        <w:ind w:left="426" w:hanging="284"/>
      </w:pPr>
      <w:r>
        <w:t>16.</w:t>
      </w:r>
      <w:r>
        <w:tab/>
        <w:t xml:space="preserve">SA Water stocked reservoir recreational fisheries </w:t>
      </w:r>
    </w:p>
    <w:p w14:paraId="4AC4905A" w14:textId="77777777" w:rsidR="00AC2B24" w:rsidRDefault="00AC2B24" w:rsidP="00AC2B24">
      <w:pPr>
        <w:pStyle w:val="GG-body"/>
        <w:ind w:left="426" w:hanging="284"/>
      </w:pPr>
      <w:r>
        <w:t>17.</w:t>
      </w:r>
      <w:r>
        <w:tab/>
        <w:t>Torrens Lake Carp Control</w:t>
      </w:r>
    </w:p>
    <w:p w14:paraId="71E2B00C" w14:textId="77777777" w:rsidR="00AC2B24" w:rsidRDefault="00AC2B24" w:rsidP="00AC2B24">
      <w:pPr>
        <w:pStyle w:val="GG-body"/>
        <w:ind w:left="426" w:hanging="284"/>
      </w:pPr>
      <w:r>
        <w:t>18.</w:t>
      </w:r>
      <w:r>
        <w:tab/>
        <w:t>Lake Eyre Basin Rivers Assessment</w:t>
      </w:r>
    </w:p>
    <w:p w14:paraId="2088B705" w14:textId="77777777" w:rsidR="00AC2B24" w:rsidRDefault="00AC2B24" w:rsidP="00AC2B24">
      <w:pPr>
        <w:pStyle w:val="GG-body"/>
        <w:ind w:left="426" w:hanging="284"/>
      </w:pPr>
      <w:r>
        <w:t>19.</w:t>
      </w:r>
      <w:r>
        <w:tab/>
        <w:t>Mount Lofty Ranges Fish Monitoring</w:t>
      </w:r>
    </w:p>
    <w:p w14:paraId="37E1FBA1" w14:textId="77777777" w:rsidR="00AC2B24" w:rsidRDefault="00AC2B24" w:rsidP="00AC2B24">
      <w:pPr>
        <w:pStyle w:val="GG-body"/>
        <w:ind w:left="426" w:hanging="284"/>
      </w:pPr>
      <w:r>
        <w:t>20.</w:t>
      </w:r>
      <w:r>
        <w:tab/>
        <w:t>Chemical contaminants in estuarine fish</w:t>
      </w:r>
    </w:p>
    <w:p w14:paraId="737F2DE5" w14:textId="77777777" w:rsidR="00AC2B24" w:rsidRDefault="00AC2B24" w:rsidP="00AC2B24">
      <w:pPr>
        <w:pStyle w:val="GG-body"/>
        <w:ind w:left="426" w:hanging="284"/>
      </w:pPr>
      <w:r>
        <w:t>21.</w:t>
      </w:r>
      <w:r>
        <w:tab/>
        <w:t>Northern Water supply project (NWSP)—Environmental Impact—plankton survey</w:t>
      </w:r>
    </w:p>
    <w:p w14:paraId="7110A54C" w14:textId="77777777" w:rsidR="00AC2B24" w:rsidRDefault="00AC2B24" w:rsidP="00AC2B24">
      <w:pPr>
        <w:pStyle w:val="GG-body"/>
        <w:ind w:left="426" w:hanging="284"/>
      </w:pPr>
      <w:r>
        <w:lastRenderedPageBreak/>
        <w:t>22.</w:t>
      </w:r>
      <w:r>
        <w:tab/>
        <w:t xml:space="preserve">Snapper restocking of hatchery broodstock </w:t>
      </w:r>
    </w:p>
    <w:p w14:paraId="26A23F3C" w14:textId="77777777" w:rsidR="00AC2B24" w:rsidRDefault="00AC2B24" w:rsidP="00AC2B24">
      <w:pPr>
        <w:pStyle w:val="GG-body"/>
        <w:ind w:left="426" w:hanging="284"/>
      </w:pPr>
      <w:r>
        <w:t>23.</w:t>
      </w:r>
      <w:r>
        <w:tab/>
      </w:r>
      <w:r w:rsidRPr="00554092">
        <w:rPr>
          <w:spacing w:val="-4"/>
        </w:rPr>
        <w:t>Scoping study on fish entrainment in irrigation infrastructure and irrigator attitudes towards fish protection screens in the SA River Murray.</w:t>
      </w:r>
    </w:p>
    <w:p w14:paraId="3960A68E" w14:textId="77777777" w:rsidR="00AC2B24" w:rsidRDefault="00AC2B24" w:rsidP="00AC2B24">
      <w:pPr>
        <w:pStyle w:val="GG-body"/>
      </w:pPr>
      <w:r w:rsidRPr="001E6E32">
        <w:rPr>
          <w:spacing w:val="-2"/>
        </w:rPr>
        <w:t xml:space="preserve">This notice does not purport to override the provisions or operation of any other Act including, but not limited to, the </w:t>
      </w:r>
      <w:r w:rsidRPr="001E6E32">
        <w:rPr>
          <w:i/>
          <w:iCs/>
          <w:spacing w:val="-2"/>
        </w:rPr>
        <w:t>Marine Parks Act 2007</w:t>
      </w:r>
      <w:r w:rsidRPr="001E6E32">
        <w:rPr>
          <w:spacing w:val="-2"/>
        </w:rPr>
        <w:t>.</w:t>
      </w:r>
      <w:r>
        <w:t xml:space="preserve"> The exemption holder and his agents must comply with any relevant regulations, permits, requirements and directions from the Department for Environment and Water when undertaking activities within a marine park.</w:t>
      </w:r>
    </w:p>
    <w:p w14:paraId="4BE2738C" w14:textId="77777777" w:rsidR="00AC2B24" w:rsidRDefault="00AC2B24" w:rsidP="00AC2B24">
      <w:pPr>
        <w:pStyle w:val="GG-SDated"/>
      </w:pPr>
      <w:r>
        <w:t>Dated: 30 June 2025</w:t>
      </w:r>
    </w:p>
    <w:p w14:paraId="49779328" w14:textId="77777777" w:rsidR="00AC2B24" w:rsidRDefault="00AC2B24" w:rsidP="00AC2B24">
      <w:pPr>
        <w:pStyle w:val="GG-SName"/>
      </w:pPr>
      <w:r>
        <w:t>Professor Gavin Begg</w:t>
      </w:r>
    </w:p>
    <w:p w14:paraId="0B554272" w14:textId="77777777" w:rsidR="00AC2B24" w:rsidRDefault="00AC2B24" w:rsidP="00AC2B24">
      <w:pPr>
        <w:pStyle w:val="GG-Signature"/>
      </w:pPr>
      <w:r>
        <w:t>Executive Director</w:t>
      </w:r>
    </w:p>
    <w:p w14:paraId="60E2CBE1" w14:textId="77777777" w:rsidR="00AC2B24" w:rsidRDefault="00AC2B24" w:rsidP="00AC2B24">
      <w:pPr>
        <w:pStyle w:val="GG-Signature"/>
      </w:pPr>
      <w:r>
        <w:t>Fisheries and Aquaculture</w:t>
      </w:r>
    </w:p>
    <w:p w14:paraId="0DACE1F5" w14:textId="5F639C6B" w:rsidR="00AC2B24" w:rsidRDefault="00AC2B24" w:rsidP="000F2DFC">
      <w:pPr>
        <w:pStyle w:val="GG-Signature"/>
      </w:pPr>
      <w:r>
        <w:t>Delegate of the Minister for Primary Industries and Regional Development</w:t>
      </w:r>
    </w:p>
    <w:p w14:paraId="120F483B" w14:textId="77777777" w:rsidR="000F2DFC" w:rsidRDefault="000F2DFC" w:rsidP="000F2DFC">
      <w:pPr>
        <w:pStyle w:val="GG-Signature"/>
        <w:pBdr>
          <w:bottom w:val="single" w:sz="4" w:space="1" w:color="auto"/>
        </w:pBdr>
        <w:spacing w:line="52" w:lineRule="exact"/>
        <w:jc w:val="center"/>
      </w:pPr>
    </w:p>
    <w:p w14:paraId="54C5ADDF" w14:textId="77777777" w:rsidR="000F2DFC" w:rsidRDefault="000F2DFC" w:rsidP="000F2DFC">
      <w:pPr>
        <w:pStyle w:val="GG-Signature"/>
        <w:pBdr>
          <w:top w:val="single" w:sz="4" w:space="1" w:color="auto"/>
        </w:pBdr>
        <w:spacing w:before="34" w:line="14" w:lineRule="exact"/>
        <w:jc w:val="center"/>
      </w:pPr>
    </w:p>
    <w:p w14:paraId="4CB0503C" w14:textId="77777777" w:rsidR="00AC2B24" w:rsidRDefault="00AC2B24" w:rsidP="00D00277">
      <w:pPr>
        <w:pStyle w:val="NoSpace"/>
      </w:pPr>
    </w:p>
    <w:p w14:paraId="2D59ED2D" w14:textId="6400CC5C" w:rsidR="00E24C16" w:rsidRPr="00E24C16" w:rsidRDefault="00E24C16" w:rsidP="00F22072">
      <w:pPr>
        <w:pStyle w:val="Heading2"/>
        <w:rPr>
          <w:rFonts w:eastAsia="Times New Roman"/>
        </w:rPr>
      </w:pPr>
      <w:bookmarkStart w:id="3" w:name="_Toc202266563"/>
      <w:r w:rsidRPr="00E24C16">
        <w:t>Health Care Act 2008</w:t>
      </w:r>
      <w:bookmarkEnd w:id="3"/>
    </w:p>
    <w:p w14:paraId="6DECA8B8" w14:textId="77777777" w:rsidR="00E24C16" w:rsidRPr="00E24C16" w:rsidRDefault="00E24C16" w:rsidP="00E24C16">
      <w:pPr>
        <w:jc w:val="center"/>
        <w:rPr>
          <w:rFonts w:ascii="Times New Roman" w:hAnsi="Times New Roman"/>
          <w:smallCaps/>
          <w:sz w:val="17"/>
          <w:szCs w:val="17"/>
        </w:rPr>
      </w:pPr>
      <w:r w:rsidRPr="00E24C16">
        <w:rPr>
          <w:rFonts w:ascii="Times New Roman" w:hAnsi="Times New Roman"/>
          <w:smallCaps/>
          <w:sz w:val="17"/>
          <w:szCs w:val="17"/>
        </w:rPr>
        <w:t>Section 44</w:t>
      </w:r>
    </w:p>
    <w:p w14:paraId="2B117EBA" w14:textId="77777777" w:rsidR="00E24C16" w:rsidRPr="00E24C16" w:rsidRDefault="00E24C16" w:rsidP="00E24C16">
      <w:pPr>
        <w:jc w:val="center"/>
        <w:rPr>
          <w:rFonts w:ascii="Times New Roman" w:eastAsia="Times New Roman" w:hAnsi="Times New Roman"/>
          <w:i/>
          <w:sz w:val="17"/>
          <w:szCs w:val="17"/>
        </w:rPr>
      </w:pPr>
      <w:r w:rsidRPr="00E24C16">
        <w:rPr>
          <w:rFonts w:ascii="Times New Roman" w:eastAsia="Times New Roman" w:hAnsi="Times New Roman"/>
          <w:i/>
          <w:sz w:val="17"/>
          <w:szCs w:val="17"/>
        </w:rPr>
        <w:t xml:space="preserve">Fees to be </w:t>
      </w:r>
      <w:r w:rsidRPr="00E24C16">
        <w:rPr>
          <w:rFonts w:ascii="Times New Roman" w:hAnsi="Times New Roman"/>
          <w:i/>
          <w:sz w:val="17"/>
          <w:szCs w:val="17"/>
        </w:rPr>
        <w:t>Charged by any Incorporated Hospital</w:t>
      </w:r>
    </w:p>
    <w:p w14:paraId="59375DFD" w14:textId="77777777" w:rsidR="00E24C16" w:rsidRPr="00E24C16" w:rsidRDefault="00E24C16" w:rsidP="00E24C16">
      <w:pPr>
        <w:rPr>
          <w:rFonts w:ascii="Times New Roman" w:eastAsia="Times New Roman" w:hAnsi="Times New Roman"/>
          <w:sz w:val="17"/>
          <w:szCs w:val="17"/>
        </w:rPr>
      </w:pPr>
      <w:r w:rsidRPr="00E24C16">
        <w:rPr>
          <w:rFonts w:ascii="Times New Roman" w:eastAsia="Times New Roman" w:hAnsi="Times New Roman"/>
          <w:sz w:val="17"/>
          <w:szCs w:val="17"/>
        </w:rPr>
        <w:t xml:space="preserve">I, Chris Picton, Minister for Health and Wellbeing, pursuant to Section 44 of the </w:t>
      </w:r>
      <w:r w:rsidRPr="00E24C16">
        <w:rPr>
          <w:rFonts w:ascii="Times New Roman" w:eastAsia="Times New Roman" w:hAnsi="Times New Roman"/>
          <w:i/>
          <w:sz w:val="17"/>
          <w:szCs w:val="17"/>
        </w:rPr>
        <w:t xml:space="preserve">Health Care Act 2008 </w:t>
      </w:r>
      <w:r w:rsidRPr="00E24C16">
        <w:rPr>
          <w:rFonts w:ascii="Times New Roman" w:eastAsia="Times New Roman" w:hAnsi="Times New Roman"/>
          <w:iCs/>
          <w:sz w:val="17"/>
          <w:szCs w:val="17"/>
        </w:rPr>
        <w:t>(“the Act”)</w:t>
      </w:r>
      <w:r w:rsidRPr="00E24C16">
        <w:rPr>
          <w:rFonts w:ascii="Times New Roman" w:eastAsia="Times New Roman" w:hAnsi="Times New Roman"/>
          <w:sz w:val="17"/>
          <w:szCs w:val="17"/>
        </w:rPr>
        <w:t>, hereby give notice of the fees to be charged by any incorporated hospital in respect of any service provided by it, as detailed in the Annexure and Schedule. The fees apply to a Medicare patient who is not a compensable patient.</w:t>
      </w:r>
    </w:p>
    <w:p w14:paraId="3C1DAA7F" w14:textId="77777777" w:rsidR="00E24C16" w:rsidRPr="00E24C16" w:rsidRDefault="00E24C16" w:rsidP="00E24C16">
      <w:pPr>
        <w:rPr>
          <w:rFonts w:ascii="Times New Roman" w:eastAsia="Times New Roman" w:hAnsi="Times New Roman"/>
          <w:sz w:val="17"/>
          <w:szCs w:val="17"/>
        </w:rPr>
      </w:pPr>
      <w:r w:rsidRPr="00E24C16">
        <w:rPr>
          <w:rFonts w:ascii="Times New Roman" w:eastAsia="Times New Roman" w:hAnsi="Times New Roman"/>
          <w:sz w:val="17"/>
          <w:szCs w:val="17"/>
        </w:rPr>
        <w:t>The fees detailed in the Annexure and Schedule will be charged from 1 July 2025 until a further Notice under Section 44 of the Act is made by the Minister for Health and Wellbeing.</w:t>
      </w:r>
    </w:p>
    <w:p w14:paraId="5922A014" w14:textId="77777777" w:rsidR="00E24C16" w:rsidRPr="00E24C16" w:rsidRDefault="00E24C16" w:rsidP="00E24C16">
      <w:pPr>
        <w:spacing w:after="0"/>
        <w:rPr>
          <w:rFonts w:ascii="Times New Roman" w:eastAsia="Times New Roman" w:hAnsi="Times New Roman"/>
          <w:sz w:val="17"/>
          <w:szCs w:val="17"/>
        </w:rPr>
      </w:pPr>
      <w:r w:rsidRPr="00E24C16">
        <w:rPr>
          <w:rFonts w:ascii="Times New Roman" w:eastAsia="Times New Roman" w:hAnsi="Times New Roman"/>
          <w:sz w:val="17"/>
          <w:szCs w:val="17"/>
        </w:rPr>
        <w:t>Dated: 29 June 2025</w:t>
      </w:r>
    </w:p>
    <w:p w14:paraId="20640638" w14:textId="77777777" w:rsidR="00E24C16" w:rsidRPr="00E24C16" w:rsidRDefault="00E24C16" w:rsidP="00E24C16">
      <w:pPr>
        <w:spacing w:after="0"/>
        <w:jc w:val="right"/>
        <w:rPr>
          <w:rFonts w:ascii="Times New Roman" w:eastAsia="Times New Roman" w:hAnsi="Times New Roman"/>
          <w:smallCaps/>
          <w:sz w:val="17"/>
          <w:szCs w:val="20"/>
        </w:rPr>
      </w:pPr>
      <w:r w:rsidRPr="00E24C16">
        <w:rPr>
          <w:rFonts w:ascii="Times New Roman" w:eastAsia="Times New Roman" w:hAnsi="Times New Roman"/>
          <w:smallCaps/>
          <w:sz w:val="17"/>
          <w:szCs w:val="20"/>
        </w:rPr>
        <w:t>Chris Picton MP</w:t>
      </w:r>
    </w:p>
    <w:p w14:paraId="384F5BD9" w14:textId="77777777" w:rsidR="00E24C16" w:rsidRPr="00E24C16" w:rsidRDefault="00E24C16" w:rsidP="00E24C16">
      <w:pPr>
        <w:spacing w:after="0"/>
        <w:jc w:val="right"/>
        <w:rPr>
          <w:rFonts w:ascii="Times New Roman" w:eastAsia="Times New Roman" w:hAnsi="Times New Roman"/>
          <w:sz w:val="17"/>
          <w:szCs w:val="17"/>
        </w:rPr>
      </w:pPr>
      <w:r w:rsidRPr="00E24C16">
        <w:rPr>
          <w:rFonts w:ascii="Times New Roman" w:eastAsia="Times New Roman" w:hAnsi="Times New Roman"/>
          <w:sz w:val="17"/>
          <w:szCs w:val="17"/>
        </w:rPr>
        <w:t>Minister for Health and Wellbeing</w:t>
      </w:r>
    </w:p>
    <w:p w14:paraId="578374F0" w14:textId="77777777" w:rsidR="00E24C16" w:rsidRPr="00E24C16" w:rsidRDefault="00E24C16" w:rsidP="00E24C16">
      <w:pPr>
        <w:pBdr>
          <w:top w:val="single" w:sz="4" w:space="1" w:color="auto"/>
        </w:pBdr>
        <w:spacing w:before="100" w:line="14" w:lineRule="exact"/>
        <w:ind w:left="1077" w:right="1077"/>
        <w:jc w:val="center"/>
        <w:rPr>
          <w:rFonts w:ascii="Times New Roman" w:eastAsia="Times New Roman" w:hAnsi="Times New Roman"/>
          <w:sz w:val="17"/>
          <w:szCs w:val="17"/>
          <w:lang w:val="en-NZ"/>
        </w:rPr>
      </w:pPr>
    </w:p>
    <w:p w14:paraId="692A049C" w14:textId="77777777" w:rsidR="00E24C16" w:rsidRPr="00E24C16" w:rsidRDefault="00E24C16" w:rsidP="00E24C16">
      <w:pPr>
        <w:jc w:val="center"/>
        <w:rPr>
          <w:rFonts w:ascii="Times New Roman" w:hAnsi="Times New Roman"/>
          <w:smallCaps/>
          <w:sz w:val="17"/>
          <w:szCs w:val="17"/>
          <w:lang w:val="en-NZ"/>
        </w:rPr>
      </w:pPr>
      <w:r w:rsidRPr="00E24C16">
        <w:rPr>
          <w:rFonts w:ascii="Times New Roman" w:hAnsi="Times New Roman"/>
          <w:smallCaps/>
          <w:sz w:val="17"/>
          <w:szCs w:val="17"/>
          <w:lang w:val="en-NZ"/>
        </w:rPr>
        <w:t>Annexure</w:t>
      </w:r>
    </w:p>
    <w:p w14:paraId="0BFFC452" w14:textId="77777777" w:rsidR="00E24C16" w:rsidRPr="00E24C16" w:rsidRDefault="00E24C16" w:rsidP="00E24C16">
      <w:pPr>
        <w:jc w:val="center"/>
        <w:rPr>
          <w:rFonts w:ascii="Times New Roman" w:hAnsi="Times New Roman"/>
          <w:i/>
          <w:sz w:val="17"/>
          <w:szCs w:val="17"/>
          <w:lang w:val="en-NZ"/>
        </w:rPr>
      </w:pPr>
      <w:r w:rsidRPr="00E24C16">
        <w:rPr>
          <w:rFonts w:ascii="Times New Roman" w:hAnsi="Times New Roman"/>
          <w:i/>
          <w:sz w:val="17"/>
          <w:szCs w:val="17"/>
          <w:lang w:val="en-NZ"/>
        </w:rPr>
        <w:t>Fees to be Charged by any Incorporated Hospital in Respect of any Service Provided by it</w:t>
      </w:r>
    </w:p>
    <w:p w14:paraId="6E1B23A0" w14:textId="77777777" w:rsidR="00E24C16" w:rsidRPr="00E24C16" w:rsidRDefault="00E24C16" w:rsidP="00E24C16">
      <w:pPr>
        <w:ind w:left="284" w:hanging="284"/>
        <w:rPr>
          <w:rFonts w:ascii="Times New Roman" w:eastAsia="Times New Roman" w:hAnsi="Times New Roman"/>
          <w:b/>
          <w:sz w:val="17"/>
          <w:szCs w:val="17"/>
          <w:lang w:val="en-NZ"/>
        </w:rPr>
      </w:pPr>
      <w:r w:rsidRPr="00E24C16">
        <w:rPr>
          <w:rFonts w:ascii="Times New Roman" w:eastAsia="Times New Roman" w:hAnsi="Times New Roman"/>
          <w:b/>
          <w:sz w:val="17"/>
          <w:szCs w:val="17"/>
          <w:lang w:val="en-NZ"/>
        </w:rPr>
        <w:t>1</w:t>
      </w:r>
      <w:r w:rsidRPr="00E24C16">
        <w:rPr>
          <w:rFonts w:ascii="Times New Roman" w:eastAsia="Times New Roman" w:hAnsi="Times New Roman"/>
          <w:bCs/>
          <w:sz w:val="17"/>
          <w:szCs w:val="17"/>
          <w:lang w:val="en-GB"/>
        </w:rPr>
        <w:t>.</w:t>
      </w:r>
      <w:r w:rsidRPr="00E24C16">
        <w:rPr>
          <w:rFonts w:ascii="Times New Roman" w:eastAsia="Times New Roman" w:hAnsi="Times New Roman"/>
          <w:bCs/>
          <w:sz w:val="17"/>
          <w:szCs w:val="17"/>
          <w:lang w:val="en-GB"/>
        </w:rPr>
        <w:tab/>
      </w:r>
      <w:r w:rsidRPr="00E24C16">
        <w:rPr>
          <w:rFonts w:ascii="Times New Roman" w:eastAsia="Times New Roman" w:hAnsi="Times New Roman"/>
          <w:b/>
          <w:sz w:val="17"/>
          <w:szCs w:val="17"/>
          <w:lang w:val="en-NZ"/>
        </w:rPr>
        <w:t>Interpretation</w:t>
      </w:r>
    </w:p>
    <w:p w14:paraId="2232A6EA" w14:textId="77777777" w:rsidR="00E24C16" w:rsidRPr="00E24C16" w:rsidRDefault="00E24C16" w:rsidP="00E24C16">
      <w:pPr>
        <w:ind w:left="567" w:hanging="283"/>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(1)</w:t>
      </w:r>
      <w:r w:rsidRPr="00E24C16">
        <w:rPr>
          <w:rFonts w:ascii="Times New Roman" w:eastAsia="Times New Roman" w:hAnsi="Times New Roman"/>
          <w:bCs/>
          <w:sz w:val="17"/>
          <w:szCs w:val="17"/>
          <w:lang w:val="en-GB"/>
        </w:rPr>
        <w:tab/>
        <w:t>Unless the contrary intention appears—</w:t>
      </w:r>
    </w:p>
    <w:p w14:paraId="0C3A272B" w14:textId="77777777" w:rsidR="00E24C16" w:rsidRPr="00E24C16" w:rsidRDefault="00E24C16" w:rsidP="00E24C16">
      <w:pPr>
        <w:ind w:left="567"/>
        <w:rPr>
          <w:rFonts w:ascii="Times New Roman" w:eastAsia="Times New Roman" w:hAnsi="Times New Roman"/>
          <w:bCs/>
          <w:spacing w:val="-4"/>
          <w:sz w:val="17"/>
          <w:szCs w:val="17"/>
          <w:lang w:val="en-GB"/>
        </w:rPr>
      </w:pPr>
      <w:r w:rsidRPr="00E24C16">
        <w:rPr>
          <w:rFonts w:ascii="Times New Roman" w:eastAsia="Times New Roman" w:hAnsi="Times New Roman"/>
          <w:b/>
          <w:bCs/>
          <w:i/>
          <w:spacing w:val="-4"/>
          <w:sz w:val="17"/>
          <w:szCs w:val="17"/>
          <w:lang w:val="en-GB"/>
        </w:rPr>
        <w:t xml:space="preserve">admitted patient </w:t>
      </w:r>
      <w:r w:rsidRPr="00E24C16">
        <w:rPr>
          <w:rFonts w:ascii="Times New Roman" w:eastAsia="Times New Roman" w:hAnsi="Times New Roman"/>
          <w:bCs/>
          <w:spacing w:val="-4"/>
          <w:sz w:val="17"/>
          <w:szCs w:val="17"/>
          <w:lang w:val="en-GB"/>
        </w:rPr>
        <w:t>means a patient of a public hospital site who has undergone the formal admission process of the public hospital site;</w:t>
      </w:r>
    </w:p>
    <w:p w14:paraId="2DFD4D07"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bCs/>
          <w:i/>
          <w:sz w:val="17"/>
          <w:szCs w:val="17"/>
          <w:lang w:val="en-GB"/>
        </w:rPr>
        <w:t xml:space="preserve">Australian </w:t>
      </w:r>
      <w:r w:rsidRPr="00E24C16">
        <w:rPr>
          <w:rFonts w:ascii="Times New Roman" w:eastAsia="Times New Roman" w:hAnsi="Times New Roman"/>
          <w:b/>
          <w:i/>
          <w:sz w:val="17"/>
          <w:szCs w:val="17"/>
          <w:lang w:val="en-NZ"/>
        </w:rPr>
        <w:t>Government Department of Health Schedule of Fees and Charges for Residential and Home Care</w:t>
      </w:r>
      <w:r w:rsidRPr="00E24C16">
        <w:rPr>
          <w:rFonts w:ascii="Times New Roman" w:eastAsia="Times New Roman" w:hAnsi="Times New Roman"/>
          <w:sz w:val="17"/>
          <w:szCs w:val="17"/>
          <w:lang w:val="en-NZ"/>
        </w:rPr>
        <w:t xml:space="preserve"> is a schedule issued by the Australian Government Department of Health which contains the maximum daily fees for residential care and for home care (in an accredited aged care facility), in addition to income thresholds and caps on income tested care fees;</w:t>
      </w:r>
    </w:p>
    <w:p w14:paraId="6980C60E"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z w:val="17"/>
          <w:szCs w:val="17"/>
          <w:lang w:val="en-GB"/>
        </w:rPr>
        <w:t>Commonwealth benefit</w:t>
      </w:r>
      <w:r w:rsidRPr="00E24C16">
        <w:rPr>
          <w:rFonts w:ascii="Times New Roman" w:eastAsia="Times New Roman" w:hAnsi="Times New Roman"/>
          <w:bCs/>
          <w:sz w:val="17"/>
          <w:szCs w:val="17"/>
          <w:lang w:val="en-GB"/>
        </w:rPr>
        <w:t>, in relation to a patient, means the aggregate of the following amounts:</w:t>
      </w:r>
    </w:p>
    <w:p w14:paraId="0C3AEFFD" w14:textId="77777777" w:rsidR="00E24C16" w:rsidRPr="00E24C16" w:rsidRDefault="00E24C16" w:rsidP="00E24C16">
      <w:pPr>
        <w:ind w:left="993" w:hanging="283"/>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(a)</w:t>
      </w:r>
      <w:r w:rsidRPr="00E24C16">
        <w:rPr>
          <w:rFonts w:ascii="Times New Roman" w:eastAsia="Times New Roman" w:hAnsi="Times New Roman"/>
          <w:bCs/>
          <w:sz w:val="17"/>
          <w:szCs w:val="17"/>
          <w:lang w:val="en-GB"/>
        </w:rPr>
        <w:tab/>
        <w:t xml:space="preserve">the maximum amount (expressed on a daily basis) payable as an age pension under the </w:t>
      </w:r>
      <w:r w:rsidRPr="00E24C16">
        <w:rPr>
          <w:rFonts w:ascii="Times New Roman" w:eastAsia="Times New Roman" w:hAnsi="Times New Roman"/>
          <w:bCs/>
          <w:i/>
          <w:iCs/>
          <w:sz w:val="17"/>
          <w:szCs w:val="17"/>
          <w:lang w:val="en-GB"/>
        </w:rPr>
        <w:t>Social Security Act 1991</w:t>
      </w:r>
      <w:r w:rsidRPr="00E24C16">
        <w:rPr>
          <w:rFonts w:ascii="Times New Roman" w:eastAsia="Times New Roman" w:hAnsi="Times New Roman"/>
          <w:bCs/>
          <w:sz w:val="17"/>
          <w:szCs w:val="17"/>
          <w:lang w:val="en-GB"/>
        </w:rPr>
        <w:t xml:space="preserve"> of the Commonwealth to a person who is not a member of a couple within the meaning of that Act, excluding the amount of any pharmaceutical allowance payable under that Act; and</w:t>
      </w:r>
    </w:p>
    <w:p w14:paraId="4C157BC6" w14:textId="77777777" w:rsidR="00E24C16" w:rsidRPr="00E24C16" w:rsidRDefault="00E24C16" w:rsidP="00E24C16">
      <w:pPr>
        <w:ind w:left="993" w:hanging="283"/>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(b)</w:t>
      </w:r>
      <w:r w:rsidRPr="00E24C16">
        <w:rPr>
          <w:rFonts w:ascii="Times New Roman" w:eastAsia="Times New Roman" w:hAnsi="Times New Roman"/>
          <w:bCs/>
          <w:sz w:val="17"/>
          <w:szCs w:val="17"/>
          <w:lang w:val="en-GB"/>
        </w:rPr>
        <w:tab/>
        <w:t>—</w:t>
      </w:r>
    </w:p>
    <w:p w14:paraId="6F3A43FA" w14:textId="77777777" w:rsidR="00E24C16" w:rsidRPr="00E24C16" w:rsidRDefault="00E24C16" w:rsidP="00E24C16">
      <w:pPr>
        <w:ind w:left="1276" w:hanging="340"/>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(i)</w:t>
      </w:r>
      <w:r w:rsidRPr="00E24C16">
        <w:rPr>
          <w:rFonts w:ascii="Times New Roman" w:eastAsia="Times New Roman" w:hAnsi="Times New Roman"/>
          <w:bCs/>
          <w:sz w:val="17"/>
          <w:szCs w:val="17"/>
          <w:lang w:val="en-GB"/>
        </w:rPr>
        <w:tab/>
        <w:t>if the patient receives rent assistance under that Act—the amount (expressed on a daily basis) received; or</w:t>
      </w:r>
    </w:p>
    <w:p w14:paraId="294EC0FD" w14:textId="77777777" w:rsidR="00E24C16" w:rsidRPr="00E24C16" w:rsidRDefault="00E24C16" w:rsidP="00E24C16">
      <w:pPr>
        <w:ind w:left="1276" w:hanging="340"/>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(ii)</w:t>
      </w:r>
      <w:r w:rsidRPr="00E24C16">
        <w:rPr>
          <w:rFonts w:ascii="Times New Roman" w:eastAsia="Times New Roman" w:hAnsi="Times New Roman"/>
          <w:bCs/>
          <w:sz w:val="17"/>
          <w:szCs w:val="17"/>
          <w:lang w:val="en-GB"/>
        </w:rPr>
        <w:tab/>
        <w:t>if the patient is not entitled to an age pension or disability support pension under that Act—the maximum amount (expressed on a daily basis) payable as rent assistance under that Act;</w:t>
      </w:r>
    </w:p>
    <w:p w14:paraId="4D4E646E"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z w:val="17"/>
          <w:szCs w:val="17"/>
          <w:lang w:val="en-GB"/>
        </w:rPr>
        <w:t>hospital in the home service</w:t>
      </w:r>
      <w:r w:rsidRPr="00E24C16">
        <w:rPr>
          <w:rFonts w:ascii="Times New Roman" w:eastAsia="Times New Roman" w:hAnsi="Times New Roman"/>
          <w:bCs/>
          <w:sz w:val="17"/>
          <w:szCs w:val="17"/>
          <w:lang w:val="en-GB"/>
        </w:rPr>
        <w:t>, in relation to a public hospital site, means treatment or care provided by the public hospital site to a patient at a location outside of the public hospital site’s premises (being treatment or care provided as a direct substitute for treatment or care that would normally be provided as an inpatient service on the public hospital site’s premises);</w:t>
      </w:r>
    </w:p>
    <w:p w14:paraId="536FA47B"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z w:val="17"/>
          <w:szCs w:val="17"/>
          <w:lang w:val="en-GB"/>
        </w:rPr>
        <w:t xml:space="preserve">Hospital Nursing Home Service </w:t>
      </w:r>
      <w:r w:rsidRPr="00E24C16">
        <w:rPr>
          <w:rFonts w:ascii="Times New Roman" w:eastAsia="Times New Roman" w:hAnsi="Times New Roman"/>
          <w:b/>
          <w:bCs/>
          <w:i/>
          <w:sz w:val="17"/>
          <w:szCs w:val="17"/>
          <w:lang w:val="en-GB"/>
        </w:rPr>
        <w:t>patient</w:t>
      </w:r>
      <w:r w:rsidRPr="00E24C16">
        <w:rPr>
          <w:rFonts w:ascii="Times New Roman" w:eastAsia="Times New Roman" w:hAnsi="Times New Roman"/>
          <w:b/>
          <w:i/>
          <w:iCs/>
          <w:sz w:val="17"/>
          <w:szCs w:val="17"/>
          <w:lang w:val="en-GB"/>
        </w:rPr>
        <w:t xml:space="preserve"> </w:t>
      </w:r>
      <w:r w:rsidRPr="00E24C16">
        <w:rPr>
          <w:rFonts w:ascii="Times New Roman" w:eastAsia="Times New Roman" w:hAnsi="Times New Roman"/>
          <w:iCs/>
          <w:sz w:val="17"/>
          <w:szCs w:val="17"/>
          <w:lang w:val="en-GB"/>
        </w:rPr>
        <w:t>means a patient</w:t>
      </w:r>
      <w:r w:rsidRPr="00E24C16">
        <w:rPr>
          <w:rFonts w:ascii="Times New Roman" w:eastAsia="Times New Roman" w:hAnsi="Times New Roman"/>
          <w:i/>
          <w:iCs/>
          <w:sz w:val="17"/>
          <w:szCs w:val="17"/>
          <w:lang w:val="en-GB"/>
        </w:rPr>
        <w:t xml:space="preserve"> </w:t>
      </w:r>
      <w:r w:rsidRPr="00E24C16">
        <w:rPr>
          <w:rFonts w:ascii="Times New Roman" w:eastAsia="Times New Roman" w:hAnsi="Times New Roman"/>
          <w:iCs/>
          <w:sz w:val="17"/>
          <w:szCs w:val="17"/>
          <w:lang w:val="en-GB"/>
        </w:rPr>
        <w:t>who is</w:t>
      </w:r>
      <w:r w:rsidRPr="00E24C16">
        <w:rPr>
          <w:rFonts w:ascii="Times New Roman" w:eastAsia="Times New Roman" w:hAnsi="Times New Roman"/>
          <w:b/>
          <w:iCs/>
          <w:sz w:val="17"/>
          <w:szCs w:val="17"/>
          <w:lang w:val="en-GB"/>
        </w:rPr>
        <w:t xml:space="preserve"> </w:t>
      </w:r>
      <w:r w:rsidRPr="00E24C16">
        <w:rPr>
          <w:rFonts w:ascii="Times New Roman" w:eastAsia="Times New Roman" w:hAnsi="Times New Roman"/>
          <w:bCs/>
          <w:sz w:val="17"/>
          <w:szCs w:val="17"/>
          <w:lang w:val="en-GB"/>
        </w:rPr>
        <w:t>transitioning accommodation from accredited aged care residential facilities</w:t>
      </w:r>
      <w:r w:rsidRPr="00E24C16" w:rsidDel="00941388">
        <w:rPr>
          <w:rFonts w:ascii="Times New Roman" w:eastAsia="Times New Roman" w:hAnsi="Times New Roman"/>
          <w:bCs/>
          <w:sz w:val="17"/>
          <w:szCs w:val="17"/>
          <w:lang w:val="en-GB"/>
        </w:rPr>
        <w:t xml:space="preserve"> </w:t>
      </w:r>
      <w:r w:rsidRPr="00E24C16">
        <w:rPr>
          <w:rFonts w:ascii="Times New Roman" w:eastAsia="Times New Roman" w:hAnsi="Times New Roman"/>
          <w:bCs/>
          <w:sz w:val="17"/>
          <w:szCs w:val="17"/>
          <w:lang w:val="en-GB"/>
        </w:rPr>
        <w:t xml:space="preserve">to a public hospital site for reasons other than for specific clinically required hospital treatment or a </w:t>
      </w:r>
      <w:r w:rsidRPr="00E24C16">
        <w:rPr>
          <w:rFonts w:ascii="Times New Roman" w:eastAsia="Times New Roman" w:hAnsi="Times New Roman"/>
          <w:sz w:val="17"/>
          <w:szCs w:val="17"/>
          <w:lang w:val="en-NZ"/>
        </w:rPr>
        <w:t>patient who is admitted to an SA Health hospital site having been assessed and determined as in need of aged care residential services consistent with those typically provided by an accredited aged care facility</w:t>
      </w:r>
      <w:r w:rsidRPr="00E24C16">
        <w:rPr>
          <w:rFonts w:ascii="Times New Roman" w:eastAsia="Times New Roman" w:hAnsi="Times New Roman"/>
          <w:bCs/>
          <w:sz w:val="17"/>
          <w:szCs w:val="17"/>
          <w:lang w:val="en-GB"/>
        </w:rPr>
        <w:t>. These patients are not long-stay patients and should be charged from their first day in the facility;</w:t>
      </w:r>
    </w:p>
    <w:p w14:paraId="7D05D853" w14:textId="77777777" w:rsidR="00E24C16" w:rsidRPr="00E24C16" w:rsidRDefault="00E24C16" w:rsidP="00E24C16">
      <w:pPr>
        <w:ind w:left="567"/>
        <w:rPr>
          <w:rFonts w:ascii="Times New Roman" w:eastAsia="Times New Roman" w:hAnsi="Times New Roman"/>
          <w:bCs/>
          <w:i/>
          <w:sz w:val="17"/>
          <w:szCs w:val="17"/>
          <w:lang w:val="en-GB"/>
        </w:rPr>
      </w:pPr>
      <w:r w:rsidRPr="00E24C16">
        <w:rPr>
          <w:rFonts w:ascii="Times New Roman" w:eastAsia="Times New Roman" w:hAnsi="Times New Roman"/>
          <w:b/>
          <w:i/>
          <w:iCs/>
          <w:sz w:val="17"/>
          <w:szCs w:val="17"/>
          <w:lang w:val="en-GB"/>
        </w:rPr>
        <w:t>incorporated hospital</w:t>
      </w:r>
      <w:r w:rsidRPr="00E24C16">
        <w:rPr>
          <w:rFonts w:ascii="Times New Roman" w:eastAsia="Times New Roman" w:hAnsi="Times New Roman"/>
          <w:iCs/>
          <w:sz w:val="17"/>
          <w:szCs w:val="17"/>
          <w:lang w:val="en-GB"/>
        </w:rPr>
        <w:t xml:space="preserve"> means a hospital incorporated under the </w:t>
      </w:r>
      <w:r w:rsidRPr="00E24C16">
        <w:rPr>
          <w:rFonts w:ascii="Times New Roman" w:eastAsia="Times New Roman" w:hAnsi="Times New Roman"/>
          <w:i/>
          <w:iCs/>
          <w:sz w:val="17"/>
          <w:szCs w:val="17"/>
          <w:lang w:val="en-GB"/>
        </w:rPr>
        <w:t>Health Care Act 2008;</w:t>
      </w:r>
    </w:p>
    <w:p w14:paraId="6448D998"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z w:val="17"/>
          <w:szCs w:val="17"/>
          <w:lang w:val="en-GB"/>
        </w:rPr>
        <w:t>long stay patient</w:t>
      </w:r>
      <w:r w:rsidRPr="00E24C16">
        <w:rPr>
          <w:rFonts w:ascii="Times New Roman" w:eastAsia="Times New Roman" w:hAnsi="Times New Roman"/>
          <w:bCs/>
          <w:sz w:val="17"/>
          <w:szCs w:val="17"/>
          <w:lang w:val="en-GB"/>
        </w:rPr>
        <w:t xml:space="preserve"> means a patient who has been an admitted patient in a public hospital site for a continuous period exceeding 35 days in any hospital, which includes total days where a patient returns for admitted hospital treatment not later than seven days after receiving hospital treatment at that hospital or another hospital;</w:t>
      </w:r>
    </w:p>
    <w:p w14:paraId="59D0765B"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pacing w:val="-2"/>
          <w:sz w:val="17"/>
          <w:szCs w:val="17"/>
          <w:lang w:val="en-GB"/>
        </w:rPr>
        <w:t>Medicare patient</w:t>
      </w:r>
      <w:r w:rsidRPr="00E24C16">
        <w:rPr>
          <w:rFonts w:ascii="Times New Roman" w:eastAsia="Times New Roman" w:hAnsi="Times New Roman"/>
          <w:bCs/>
          <w:spacing w:val="-2"/>
          <w:sz w:val="17"/>
          <w:szCs w:val="17"/>
          <w:lang w:val="en-GB"/>
        </w:rPr>
        <w:t xml:space="preserve"> means a patient who is an eligible person for the purpose of receiving medical benefits under the </w:t>
      </w:r>
      <w:r w:rsidRPr="00E24C16">
        <w:rPr>
          <w:rFonts w:ascii="Times New Roman" w:eastAsia="Times New Roman" w:hAnsi="Times New Roman"/>
          <w:bCs/>
          <w:i/>
          <w:iCs/>
          <w:spacing w:val="-2"/>
          <w:sz w:val="17"/>
          <w:szCs w:val="17"/>
          <w:lang w:val="en-GB"/>
        </w:rPr>
        <w:t>Health Insurance</w:t>
      </w:r>
      <w:r w:rsidRPr="00E24C16">
        <w:rPr>
          <w:rFonts w:ascii="Times New Roman" w:eastAsia="Times New Roman" w:hAnsi="Times New Roman"/>
          <w:bCs/>
          <w:i/>
          <w:iCs/>
          <w:sz w:val="17"/>
          <w:szCs w:val="17"/>
          <w:lang w:val="en-GB"/>
        </w:rPr>
        <w:t xml:space="preserve"> Act 1973</w:t>
      </w:r>
      <w:r w:rsidRPr="00E24C16">
        <w:rPr>
          <w:rFonts w:ascii="Times New Roman" w:eastAsia="Times New Roman" w:hAnsi="Times New Roman"/>
          <w:bCs/>
          <w:sz w:val="17"/>
          <w:szCs w:val="17"/>
          <w:lang w:val="en-GB"/>
        </w:rPr>
        <w:t xml:space="preserve"> of the Commonwealth;</w:t>
      </w:r>
    </w:p>
    <w:p w14:paraId="2D596E9B"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z w:val="17"/>
          <w:szCs w:val="17"/>
          <w:lang w:val="en-GB"/>
        </w:rPr>
        <w:t>overnight stay patient</w:t>
      </w:r>
      <w:r w:rsidRPr="00E24C16">
        <w:rPr>
          <w:rFonts w:ascii="Times New Roman" w:eastAsia="Times New Roman" w:hAnsi="Times New Roman"/>
          <w:bCs/>
          <w:sz w:val="17"/>
          <w:szCs w:val="17"/>
          <w:lang w:val="en-GB"/>
        </w:rPr>
        <w:t xml:space="preserve"> means an admitted patient of a public hospital site who remains an admitted patient of the public hospital site until a day subsequent to the day of their admission;</w:t>
      </w:r>
    </w:p>
    <w:p w14:paraId="5AF4F936"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z w:val="17"/>
          <w:szCs w:val="17"/>
          <w:lang w:val="en-GB"/>
        </w:rPr>
        <w:t>patient</w:t>
      </w:r>
      <w:r w:rsidRPr="00E24C16">
        <w:rPr>
          <w:rFonts w:ascii="Times New Roman" w:eastAsia="Times New Roman" w:hAnsi="Times New Roman"/>
          <w:bCs/>
          <w:sz w:val="17"/>
          <w:szCs w:val="17"/>
          <w:lang w:val="en-GB"/>
        </w:rPr>
        <w:t xml:space="preserve"> means a person to whom a public hospital site provides medical or diagnostic services or other treatment or care and includes a person to whom a public hospital site provides outreach services;</w:t>
      </w:r>
    </w:p>
    <w:p w14:paraId="030982B5"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z w:val="17"/>
          <w:szCs w:val="17"/>
          <w:lang w:val="en-GB"/>
        </w:rPr>
        <w:t>private</w:t>
      </w:r>
      <w:r w:rsidRPr="00E24C16">
        <w:rPr>
          <w:rFonts w:ascii="Times New Roman" w:eastAsia="Times New Roman" w:hAnsi="Times New Roman"/>
          <w:bCs/>
          <w:sz w:val="17"/>
          <w:szCs w:val="17"/>
          <w:lang w:val="en-GB"/>
        </w:rPr>
        <w:t>, in relation to a patient, connotes that the patient receives medical or diagnostic services from a medical practitioner selected by the patient;</w:t>
      </w:r>
    </w:p>
    <w:p w14:paraId="1EE8176C"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z w:val="17"/>
          <w:szCs w:val="17"/>
          <w:lang w:val="en-GB"/>
        </w:rPr>
        <w:t>public</w:t>
      </w:r>
      <w:r w:rsidRPr="00E24C16">
        <w:rPr>
          <w:rFonts w:ascii="Times New Roman" w:eastAsia="Times New Roman" w:hAnsi="Times New Roman"/>
          <w:bCs/>
          <w:sz w:val="17"/>
          <w:szCs w:val="17"/>
          <w:lang w:val="en-GB"/>
        </w:rPr>
        <w:t>, in relation to a patient, connotes that the patient receives medical or diagnostic services from a medical practitioner selected by the public hospital site;</w:t>
      </w:r>
    </w:p>
    <w:p w14:paraId="48D75085"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z w:val="17"/>
          <w:szCs w:val="17"/>
          <w:lang w:val="en-GB"/>
        </w:rPr>
        <w:t>public hospital site</w:t>
      </w:r>
      <w:r w:rsidRPr="00E24C16">
        <w:rPr>
          <w:rFonts w:ascii="Times New Roman" w:eastAsia="Times New Roman" w:hAnsi="Times New Roman"/>
          <w:iCs/>
          <w:sz w:val="17"/>
          <w:szCs w:val="17"/>
          <w:lang w:val="en-GB"/>
        </w:rPr>
        <w:t xml:space="preserve"> means a hospital facility which is operated by and is part of an incorporated hospital and which can have buildings and facilities at more than one location in the State;</w:t>
      </w:r>
    </w:p>
    <w:p w14:paraId="0738D756"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z w:val="17"/>
          <w:szCs w:val="17"/>
          <w:lang w:val="en-GB"/>
        </w:rPr>
        <w:t>same day patient</w:t>
      </w:r>
      <w:r w:rsidRPr="00E24C16">
        <w:rPr>
          <w:rFonts w:ascii="Times New Roman" w:eastAsia="Times New Roman" w:hAnsi="Times New Roman"/>
          <w:bCs/>
          <w:sz w:val="17"/>
          <w:szCs w:val="17"/>
          <w:lang w:val="en-GB"/>
        </w:rPr>
        <w:t xml:space="preserve"> means an admitted patient of a public hospital site who, on the same day, is both admitted to and leaves the care of the public hospital site (whether on formal discharge by the public hospital site or voluntary discharge by the patient);</w:t>
      </w:r>
    </w:p>
    <w:p w14:paraId="2AA9A9A1" w14:textId="77777777" w:rsidR="00E24C16" w:rsidRPr="00E24C16" w:rsidRDefault="00E24C16" w:rsidP="00E24C16">
      <w:pPr>
        <w:ind w:left="567"/>
        <w:rPr>
          <w:rFonts w:ascii="Times New Roman" w:eastAsia="Times New Roman" w:hAnsi="Times New Roman"/>
          <w:bCs/>
          <w:sz w:val="17"/>
          <w:szCs w:val="17"/>
          <w:lang w:val="en-GB"/>
        </w:rPr>
      </w:pPr>
      <w:r w:rsidRPr="00E24C16">
        <w:rPr>
          <w:rFonts w:ascii="Times New Roman" w:eastAsia="Times New Roman" w:hAnsi="Times New Roman"/>
          <w:b/>
          <w:i/>
          <w:iCs/>
          <w:sz w:val="17"/>
          <w:szCs w:val="17"/>
          <w:lang w:val="en-GB"/>
        </w:rPr>
        <w:t>single room</w:t>
      </w:r>
      <w:r w:rsidRPr="00E24C16">
        <w:rPr>
          <w:rFonts w:ascii="Times New Roman" w:eastAsia="Times New Roman" w:hAnsi="Times New Roman"/>
          <w:bCs/>
          <w:sz w:val="17"/>
          <w:szCs w:val="17"/>
          <w:lang w:val="en-GB"/>
        </w:rPr>
        <w:t>, in relation to the accommodation of a patient, means the accommodation of the patient in a room in which he or she is the only patient.</w:t>
      </w:r>
    </w:p>
    <w:p w14:paraId="49DD3F7C" w14:textId="77777777" w:rsidR="00E24C16" w:rsidRPr="00E24C16" w:rsidRDefault="00E24C16" w:rsidP="00E24C16">
      <w:pPr>
        <w:ind w:left="567" w:hanging="283"/>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lastRenderedPageBreak/>
        <w:t>(2)</w:t>
      </w:r>
      <w:r w:rsidRPr="00E24C16">
        <w:rPr>
          <w:rFonts w:ascii="Times New Roman" w:eastAsia="Times New Roman" w:hAnsi="Times New Roman"/>
          <w:bCs/>
          <w:sz w:val="17"/>
          <w:szCs w:val="17"/>
          <w:lang w:val="en-GB"/>
        </w:rPr>
        <w:tab/>
        <w:t xml:space="preserve">A patient will be regarded as being </w:t>
      </w:r>
      <w:r w:rsidRPr="00E24C16">
        <w:rPr>
          <w:rFonts w:ascii="Times New Roman" w:eastAsia="Times New Roman" w:hAnsi="Times New Roman"/>
          <w:b/>
          <w:i/>
          <w:iCs/>
          <w:sz w:val="17"/>
          <w:szCs w:val="17"/>
          <w:lang w:val="en-GB"/>
        </w:rPr>
        <w:t>acutely ill</w:t>
      </w:r>
      <w:r w:rsidRPr="00E24C16">
        <w:rPr>
          <w:rFonts w:ascii="Times New Roman" w:eastAsia="Times New Roman" w:hAnsi="Times New Roman"/>
          <w:bCs/>
          <w:sz w:val="17"/>
          <w:szCs w:val="17"/>
          <w:lang w:val="en-GB"/>
        </w:rPr>
        <w:t xml:space="preserve"> during a particular period if a medical practitioner has certified that the patient will require extensive medical treatment and supervision during that period.</w:t>
      </w:r>
    </w:p>
    <w:p w14:paraId="47D94227" w14:textId="77777777" w:rsidR="00E24C16" w:rsidRPr="00E24C16" w:rsidRDefault="00E24C16" w:rsidP="00E24C16">
      <w:pPr>
        <w:ind w:left="567" w:hanging="283"/>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(3)</w:t>
      </w:r>
      <w:r w:rsidRPr="00E24C16">
        <w:rPr>
          <w:rFonts w:ascii="Times New Roman" w:eastAsia="Times New Roman" w:hAnsi="Times New Roman"/>
          <w:bCs/>
          <w:sz w:val="17"/>
          <w:szCs w:val="17"/>
          <w:lang w:val="en-GB"/>
        </w:rPr>
        <w:tab/>
        <w:t>A certificate referred to in subsection (2) remains in force for the period specified in the certificate (not exceeding 30 days) or, if no period is specified, for a period of 30 days.</w:t>
      </w:r>
    </w:p>
    <w:p w14:paraId="74CB9E4B" w14:textId="029DDD30" w:rsidR="00E24C16" w:rsidRPr="00E24C16" w:rsidRDefault="00E24C16" w:rsidP="00E24C16">
      <w:pPr>
        <w:ind w:left="284" w:hanging="284"/>
        <w:rPr>
          <w:rFonts w:ascii="Times New Roman" w:eastAsia="Times New Roman" w:hAnsi="Times New Roman"/>
          <w:b/>
          <w:sz w:val="17"/>
          <w:szCs w:val="17"/>
          <w:lang w:val="en-NZ"/>
        </w:rPr>
      </w:pPr>
      <w:r w:rsidRPr="00E24C16">
        <w:rPr>
          <w:rFonts w:ascii="Times New Roman" w:eastAsia="Times New Roman" w:hAnsi="Times New Roman"/>
          <w:b/>
          <w:sz w:val="17"/>
          <w:szCs w:val="17"/>
          <w:lang w:val="en-NZ"/>
        </w:rPr>
        <w:t>2.</w:t>
      </w:r>
      <w:r w:rsidRPr="00E24C16">
        <w:rPr>
          <w:rFonts w:ascii="Times New Roman" w:eastAsia="Times New Roman" w:hAnsi="Times New Roman"/>
          <w:b/>
          <w:sz w:val="17"/>
          <w:szCs w:val="17"/>
          <w:lang w:val="en-NZ"/>
        </w:rPr>
        <w:tab/>
        <w:t>Fees for Services Provided to Medicare Patients</w:t>
      </w:r>
    </w:p>
    <w:p w14:paraId="42849211" w14:textId="77777777" w:rsidR="00E24C16" w:rsidRPr="00E24C16" w:rsidRDefault="00E24C16" w:rsidP="00E24C16">
      <w:pPr>
        <w:ind w:left="567" w:hanging="283"/>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(1)</w:t>
      </w:r>
      <w:r w:rsidRPr="00E24C16">
        <w:rPr>
          <w:rFonts w:ascii="Times New Roman" w:eastAsia="Times New Roman" w:hAnsi="Times New Roman"/>
          <w:bCs/>
          <w:sz w:val="17"/>
          <w:szCs w:val="17"/>
          <w:lang w:val="en-GB"/>
        </w:rPr>
        <w:tab/>
        <w:t>The fee to be charged by an incorporated hospital for a service of a kind set out in the Schedule provided to a Medicare patient who is not a compensable patient is as set out in the Schedule.</w:t>
      </w:r>
    </w:p>
    <w:p w14:paraId="72E46286" w14:textId="77777777" w:rsidR="00E24C16" w:rsidRPr="00E24C16" w:rsidRDefault="00E24C16" w:rsidP="00E24C16">
      <w:pPr>
        <w:ind w:left="567" w:hanging="283"/>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(2)</w:t>
      </w:r>
      <w:r w:rsidRPr="00E24C16">
        <w:rPr>
          <w:rFonts w:ascii="Times New Roman" w:eastAsia="Times New Roman" w:hAnsi="Times New Roman"/>
          <w:bCs/>
          <w:sz w:val="17"/>
          <w:szCs w:val="17"/>
          <w:lang w:val="en-GB"/>
        </w:rPr>
        <w:tab/>
        <w:t>A person who is—</w:t>
      </w:r>
    </w:p>
    <w:p w14:paraId="3EA4B267" w14:textId="77777777" w:rsidR="00E24C16" w:rsidRPr="00E24C16" w:rsidRDefault="00E24C16" w:rsidP="00E24C16">
      <w:pPr>
        <w:ind w:left="993" w:hanging="283"/>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(a)</w:t>
      </w:r>
      <w:r w:rsidRPr="00E24C16">
        <w:rPr>
          <w:rFonts w:ascii="Times New Roman" w:eastAsia="Times New Roman" w:hAnsi="Times New Roman"/>
          <w:bCs/>
          <w:sz w:val="17"/>
          <w:szCs w:val="17"/>
          <w:lang w:val="en-GB"/>
        </w:rPr>
        <w:tab/>
        <w:t>a resident of a State or Territory of the Commonwealth other than South Australia; or</w:t>
      </w:r>
    </w:p>
    <w:p w14:paraId="4F5CFFD8" w14:textId="77777777" w:rsidR="00E24C16" w:rsidRPr="00E24C16" w:rsidRDefault="00E24C16" w:rsidP="00E24C16">
      <w:pPr>
        <w:ind w:left="993" w:hanging="283"/>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(b)</w:t>
      </w:r>
      <w:r w:rsidRPr="00E24C16">
        <w:rPr>
          <w:rFonts w:ascii="Times New Roman" w:eastAsia="Times New Roman" w:hAnsi="Times New Roman"/>
          <w:bCs/>
          <w:sz w:val="17"/>
          <w:szCs w:val="17"/>
          <w:lang w:val="en-GB"/>
        </w:rPr>
        <w:tab/>
        <w:t>a member of the armed forces of the Commonwealth; or</w:t>
      </w:r>
    </w:p>
    <w:p w14:paraId="3DCFE6EC" w14:textId="77777777" w:rsidR="00E24C16" w:rsidRPr="00E24C16" w:rsidRDefault="00E24C16" w:rsidP="00E24C16">
      <w:pPr>
        <w:ind w:left="993" w:hanging="283"/>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(c)</w:t>
      </w:r>
      <w:r w:rsidRPr="00E24C16">
        <w:rPr>
          <w:rFonts w:ascii="Times New Roman" w:eastAsia="Times New Roman" w:hAnsi="Times New Roman"/>
          <w:bCs/>
          <w:sz w:val="17"/>
          <w:szCs w:val="17"/>
          <w:lang w:val="en-GB"/>
        </w:rPr>
        <w:tab/>
        <w:t xml:space="preserve">entitled to a benefit under the </w:t>
      </w:r>
      <w:r w:rsidRPr="00E24C16">
        <w:rPr>
          <w:rFonts w:ascii="Times New Roman" w:eastAsia="Times New Roman" w:hAnsi="Times New Roman"/>
          <w:bCs/>
          <w:i/>
          <w:iCs/>
          <w:sz w:val="17"/>
          <w:szCs w:val="17"/>
          <w:lang w:val="en-GB"/>
        </w:rPr>
        <w:t>Veterans’ Entitlements Act 1986</w:t>
      </w:r>
      <w:r w:rsidRPr="00E24C16">
        <w:rPr>
          <w:rFonts w:ascii="Times New Roman" w:eastAsia="Times New Roman" w:hAnsi="Times New Roman"/>
          <w:bCs/>
          <w:sz w:val="17"/>
          <w:szCs w:val="17"/>
          <w:lang w:val="en-GB"/>
        </w:rPr>
        <w:t xml:space="preserve"> of the Commonwealth,</w:t>
      </w:r>
    </w:p>
    <w:p w14:paraId="6BDAC353" w14:textId="77777777" w:rsidR="00E24C16" w:rsidRPr="00E24C16" w:rsidRDefault="00E24C16" w:rsidP="00E24C16">
      <w:pPr>
        <w:ind w:left="709"/>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may, with the approval of the Minister, be released from liability to pay the fees contained in the Schedule.</w:t>
      </w:r>
    </w:p>
    <w:p w14:paraId="42842DF4" w14:textId="77777777" w:rsidR="00E24C16" w:rsidRPr="00E24C16" w:rsidRDefault="00E24C16" w:rsidP="00E24C16">
      <w:pPr>
        <w:ind w:left="567" w:hanging="283"/>
        <w:rPr>
          <w:rFonts w:ascii="Times New Roman" w:eastAsia="Times New Roman" w:hAnsi="Times New Roman"/>
          <w:bCs/>
          <w:sz w:val="17"/>
          <w:szCs w:val="17"/>
          <w:lang w:val="en-GB"/>
        </w:rPr>
      </w:pPr>
      <w:r w:rsidRPr="00E24C16">
        <w:rPr>
          <w:rFonts w:ascii="Times New Roman" w:eastAsia="Times New Roman" w:hAnsi="Times New Roman"/>
          <w:bCs/>
          <w:sz w:val="17"/>
          <w:szCs w:val="17"/>
          <w:lang w:val="en-GB"/>
        </w:rPr>
        <w:t>(3)</w:t>
      </w:r>
      <w:r w:rsidRPr="00E24C16">
        <w:rPr>
          <w:rFonts w:ascii="Times New Roman" w:eastAsia="Times New Roman" w:hAnsi="Times New Roman"/>
          <w:bCs/>
          <w:sz w:val="17"/>
          <w:szCs w:val="17"/>
          <w:lang w:val="en-GB"/>
        </w:rPr>
        <w:tab/>
        <w:t>An incorporated hospital may discount payment of, or remit, the whole or any part of a fee payable to it.</w:t>
      </w:r>
    </w:p>
    <w:p w14:paraId="63E3CB92" w14:textId="77777777" w:rsidR="00E24C16" w:rsidRPr="00E24C16" w:rsidRDefault="00E24C16" w:rsidP="00E24C16">
      <w:pPr>
        <w:jc w:val="center"/>
        <w:rPr>
          <w:rFonts w:ascii="Times New Roman" w:hAnsi="Times New Roman"/>
          <w:smallCaps/>
          <w:sz w:val="17"/>
          <w:szCs w:val="17"/>
          <w:lang w:val="en-GB"/>
        </w:rPr>
      </w:pPr>
      <w:r w:rsidRPr="00E24C16">
        <w:rPr>
          <w:rFonts w:ascii="Times New Roman" w:hAnsi="Times New Roman"/>
          <w:smallCaps/>
          <w:sz w:val="17"/>
          <w:szCs w:val="17"/>
          <w:lang w:val="en-GB"/>
        </w:rPr>
        <w:t>Schedule</w:t>
      </w:r>
    </w:p>
    <w:p w14:paraId="35058964" w14:textId="77777777" w:rsidR="00E24C16" w:rsidRPr="00E24C16" w:rsidRDefault="00E24C16" w:rsidP="00E24C16">
      <w:pPr>
        <w:jc w:val="center"/>
        <w:rPr>
          <w:rFonts w:ascii="Times New Roman" w:hAnsi="Times New Roman"/>
          <w:i/>
          <w:sz w:val="17"/>
          <w:szCs w:val="17"/>
          <w:lang w:val="en-GB"/>
        </w:rPr>
      </w:pPr>
      <w:r w:rsidRPr="00E24C16">
        <w:rPr>
          <w:rFonts w:ascii="Times New Roman" w:hAnsi="Times New Roman"/>
          <w:i/>
          <w:sz w:val="17"/>
          <w:szCs w:val="17"/>
          <w:lang w:val="en-NZ"/>
        </w:rPr>
        <w:t>Fees to be Charged by any Incorporated Hospital in Respect of any Service Provided by it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2273"/>
      </w:tblGrid>
      <w:tr w:rsidR="00E24C16" w:rsidRPr="00E24C16" w14:paraId="51A83EF7" w14:textId="77777777" w:rsidTr="008D3E3A">
        <w:trPr>
          <w:tblHeader/>
        </w:trPr>
        <w:tc>
          <w:tcPr>
            <w:tcW w:w="3786" w:type="pct"/>
            <w:tcBorders>
              <w:bottom w:val="single" w:sz="4" w:space="0" w:color="auto"/>
            </w:tcBorders>
          </w:tcPr>
          <w:p w14:paraId="307483A4"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b/>
                <w:sz w:val="17"/>
                <w:szCs w:val="17"/>
                <w:lang w:val="en-GB"/>
              </w:rPr>
            </w:pPr>
          </w:p>
        </w:tc>
        <w:tc>
          <w:tcPr>
            <w:tcW w:w="1214" w:type="pct"/>
            <w:tcBorders>
              <w:bottom w:val="single" w:sz="4" w:space="0" w:color="auto"/>
            </w:tcBorders>
          </w:tcPr>
          <w:p w14:paraId="00EAFAE8"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right"/>
              <w:rPr>
                <w:b/>
                <w:sz w:val="17"/>
                <w:szCs w:val="17"/>
                <w:lang w:val="en-GB"/>
              </w:rPr>
            </w:pPr>
            <w:r w:rsidRPr="00E24C16">
              <w:rPr>
                <w:b/>
                <w:sz w:val="17"/>
                <w:szCs w:val="17"/>
                <w:lang w:val="en-GB"/>
              </w:rPr>
              <w:t>Fee (per day)</w:t>
            </w:r>
          </w:p>
        </w:tc>
      </w:tr>
      <w:tr w:rsidR="00E24C16" w:rsidRPr="00E24C16" w14:paraId="71C6EB67" w14:textId="77777777" w:rsidTr="008D3E3A">
        <w:trPr>
          <w:tblHeader/>
        </w:trPr>
        <w:tc>
          <w:tcPr>
            <w:tcW w:w="3786" w:type="pct"/>
            <w:tcBorders>
              <w:top w:val="single" w:sz="4" w:space="0" w:color="auto"/>
            </w:tcBorders>
          </w:tcPr>
          <w:p w14:paraId="3E847BC6"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b/>
                <w:sz w:val="17"/>
                <w:szCs w:val="17"/>
                <w:lang w:val="en-GB"/>
              </w:rPr>
            </w:pPr>
          </w:p>
        </w:tc>
        <w:tc>
          <w:tcPr>
            <w:tcW w:w="1214" w:type="pct"/>
            <w:tcBorders>
              <w:top w:val="single" w:sz="4" w:space="0" w:color="auto"/>
            </w:tcBorders>
          </w:tcPr>
          <w:p w14:paraId="7B8D2B66"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right"/>
              <w:rPr>
                <w:b/>
                <w:sz w:val="17"/>
                <w:szCs w:val="17"/>
                <w:lang w:val="en-GB"/>
              </w:rPr>
            </w:pPr>
          </w:p>
        </w:tc>
      </w:tr>
      <w:tr w:rsidR="00E24C16" w:rsidRPr="00E24C16" w14:paraId="73B7C73D" w14:textId="77777777" w:rsidTr="008D3E3A">
        <w:tc>
          <w:tcPr>
            <w:tcW w:w="3786" w:type="pct"/>
          </w:tcPr>
          <w:p w14:paraId="7741B84A"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9" w:hanging="319"/>
              <w:jc w:val="left"/>
              <w:rPr>
                <w:bCs/>
                <w:sz w:val="17"/>
                <w:szCs w:val="17"/>
                <w:lang w:val="en-GB"/>
              </w:rPr>
            </w:pPr>
            <w:r w:rsidRPr="00E24C16">
              <w:rPr>
                <w:bCs/>
                <w:sz w:val="17"/>
                <w:szCs w:val="17"/>
                <w:lang w:val="en-GB"/>
              </w:rPr>
              <w:t>1.</w:t>
            </w:r>
            <w:r w:rsidRPr="00E24C16">
              <w:rPr>
                <w:bCs/>
                <w:sz w:val="17"/>
                <w:szCs w:val="17"/>
                <w:lang w:val="en-GB"/>
              </w:rPr>
              <w:tab/>
              <w:t>For the accommodation, maintenance, care and treatment at a public hospital site of a public overnight stay patient</w:t>
            </w:r>
          </w:p>
        </w:tc>
        <w:tc>
          <w:tcPr>
            <w:tcW w:w="1214" w:type="pct"/>
          </w:tcPr>
          <w:p w14:paraId="2F47E20D"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no fee</w:t>
            </w:r>
          </w:p>
        </w:tc>
      </w:tr>
      <w:tr w:rsidR="00E24C16" w:rsidRPr="00E24C16" w14:paraId="2AFA47BC" w14:textId="77777777" w:rsidTr="008D3E3A">
        <w:tc>
          <w:tcPr>
            <w:tcW w:w="3786" w:type="pct"/>
          </w:tcPr>
          <w:p w14:paraId="6C636A0A"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9" w:hanging="319"/>
              <w:jc w:val="left"/>
              <w:rPr>
                <w:bCs/>
                <w:sz w:val="17"/>
                <w:szCs w:val="17"/>
                <w:lang w:val="en-GB"/>
              </w:rPr>
            </w:pPr>
            <w:r w:rsidRPr="00E24C16">
              <w:rPr>
                <w:bCs/>
                <w:sz w:val="17"/>
                <w:szCs w:val="17"/>
                <w:lang w:val="en-GB"/>
              </w:rPr>
              <w:t>2.</w:t>
            </w:r>
            <w:r w:rsidRPr="00E24C16">
              <w:rPr>
                <w:bCs/>
                <w:sz w:val="17"/>
                <w:szCs w:val="17"/>
                <w:lang w:val="en-GB"/>
              </w:rPr>
              <w:tab/>
              <w:t xml:space="preserve">For the accommodation, maintenance and care at a public hospital site of a private overnight </w:t>
            </w:r>
            <w:r w:rsidRPr="00E24C16">
              <w:rPr>
                <w:bCs/>
                <w:sz w:val="17"/>
                <w:szCs w:val="17"/>
                <w:lang w:val="en-GB"/>
              </w:rPr>
              <w:br/>
              <w:t>stay patient—</w:t>
            </w:r>
          </w:p>
        </w:tc>
        <w:tc>
          <w:tcPr>
            <w:tcW w:w="1214" w:type="pct"/>
          </w:tcPr>
          <w:p w14:paraId="3CE7FDA4"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p>
        </w:tc>
      </w:tr>
      <w:tr w:rsidR="00E24C16" w:rsidRPr="00E24C16" w14:paraId="78581BF2" w14:textId="77777777" w:rsidTr="008D3E3A">
        <w:tc>
          <w:tcPr>
            <w:tcW w:w="3786" w:type="pct"/>
          </w:tcPr>
          <w:p w14:paraId="5E9EB1E4"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602" w:hanging="283"/>
              <w:jc w:val="left"/>
              <w:rPr>
                <w:bCs/>
                <w:sz w:val="17"/>
                <w:szCs w:val="17"/>
                <w:lang w:val="en-GB"/>
              </w:rPr>
            </w:pPr>
            <w:r w:rsidRPr="00E24C16">
              <w:rPr>
                <w:bCs/>
                <w:sz w:val="17"/>
                <w:szCs w:val="17"/>
                <w:lang w:val="en-GB"/>
              </w:rPr>
              <w:t>(a)</w:t>
            </w:r>
            <w:r w:rsidRPr="00E24C16">
              <w:rPr>
                <w:bCs/>
                <w:sz w:val="17"/>
                <w:szCs w:val="17"/>
                <w:lang w:val="en-GB"/>
              </w:rPr>
              <w:tab/>
              <w:t xml:space="preserve">where the patient requests and subsequently receives single room accommodation </w:t>
            </w:r>
            <w:r w:rsidRPr="00E24C16">
              <w:rPr>
                <w:bCs/>
                <w:sz w:val="17"/>
                <w:szCs w:val="17"/>
                <w:lang w:val="en-GB"/>
              </w:rPr>
              <w:br/>
              <w:t>(maximum fee/day)</w:t>
            </w:r>
          </w:p>
        </w:tc>
        <w:tc>
          <w:tcPr>
            <w:tcW w:w="1214" w:type="pct"/>
          </w:tcPr>
          <w:p w14:paraId="091B5352"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$769.00</w:t>
            </w:r>
          </w:p>
        </w:tc>
      </w:tr>
      <w:tr w:rsidR="00E24C16" w:rsidRPr="00E24C16" w14:paraId="32332A4B" w14:textId="77777777" w:rsidTr="008D3E3A">
        <w:tc>
          <w:tcPr>
            <w:tcW w:w="3786" w:type="pct"/>
          </w:tcPr>
          <w:p w14:paraId="673504BA"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602" w:hanging="283"/>
              <w:jc w:val="left"/>
              <w:rPr>
                <w:bCs/>
                <w:sz w:val="17"/>
                <w:szCs w:val="17"/>
                <w:lang w:val="en-GB"/>
              </w:rPr>
            </w:pPr>
            <w:r w:rsidRPr="00E24C16">
              <w:rPr>
                <w:bCs/>
                <w:sz w:val="17"/>
                <w:szCs w:val="17"/>
                <w:lang w:val="en-GB"/>
              </w:rPr>
              <w:t>(b)</w:t>
            </w:r>
            <w:r w:rsidRPr="00E24C16">
              <w:rPr>
                <w:bCs/>
                <w:sz w:val="17"/>
                <w:szCs w:val="17"/>
                <w:lang w:val="en-GB"/>
              </w:rPr>
              <w:tab/>
              <w:t>in any other case</w:t>
            </w:r>
          </w:p>
        </w:tc>
        <w:tc>
          <w:tcPr>
            <w:tcW w:w="1214" w:type="pct"/>
          </w:tcPr>
          <w:p w14:paraId="78035079"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$446.00</w:t>
            </w:r>
          </w:p>
        </w:tc>
      </w:tr>
      <w:tr w:rsidR="00E24C16" w:rsidRPr="00E24C16" w14:paraId="16682D0B" w14:textId="77777777" w:rsidTr="008D3E3A">
        <w:tc>
          <w:tcPr>
            <w:tcW w:w="3786" w:type="pct"/>
          </w:tcPr>
          <w:p w14:paraId="6FEA4E4B"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9" w:hanging="319"/>
              <w:jc w:val="left"/>
              <w:rPr>
                <w:bCs/>
                <w:sz w:val="17"/>
                <w:szCs w:val="17"/>
                <w:lang w:val="en-GB"/>
              </w:rPr>
            </w:pPr>
            <w:r w:rsidRPr="00E24C16">
              <w:rPr>
                <w:bCs/>
                <w:sz w:val="17"/>
                <w:szCs w:val="17"/>
                <w:lang w:val="en-GB"/>
              </w:rPr>
              <w:t>3.</w:t>
            </w:r>
            <w:r w:rsidRPr="00E24C16">
              <w:rPr>
                <w:bCs/>
                <w:sz w:val="17"/>
                <w:szCs w:val="17"/>
                <w:lang w:val="en-GB"/>
              </w:rPr>
              <w:tab/>
              <w:t>For the accommodation, maintenance, care and treatment at a public hospital site of a public patient who is a same day patient</w:t>
            </w:r>
          </w:p>
        </w:tc>
        <w:tc>
          <w:tcPr>
            <w:tcW w:w="1214" w:type="pct"/>
          </w:tcPr>
          <w:p w14:paraId="0ACA854A"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no fee</w:t>
            </w:r>
          </w:p>
        </w:tc>
      </w:tr>
      <w:tr w:rsidR="00E24C16" w:rsidRPr="00E24C16" w14:paraId="02C39441" w14:textId="77777777" w:rsidTr="008D3E3A">
        <w:tc>
          <w:tcPr>
            <w:tcW w:w="3786" w:type="pct"/>
          </w:tcPr>
          <w:p w14:paraId="3594CB93"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9" w:hanging="319"/>
              <w:jc w:val="left"/>
              <w:rPr>
                <w:bCs/>
                <w:sz w:val="17"/>
                <w:szCs w:val="17"/>
                <w:lang w:val="en-GB"/>
              </w:rPr>
            </w:pPr>
            <w:r w:rsidRPr="00E24C16">
              <w:rPr>
                <w:bCs/>
                <w:sz w:val="17"/>
                <w:szCs w:val="17"/>
                <w:lang w:val="en-GB"/>
              </w:rPr>
              <w:t>4.</w:t>
            </w:r>
            <w:r w:rsidRPr="00E24C16">
              <w:rPr>
                <w:bCs/>
                <w:sz w:val="17"/>
                <w:szCs w:val="17"/>
                <w:lang w:val="en-GB"/>
              </w:rPr>
              <w:tab/>
              <w:t>For the accommodation, maintenance and care at a public hospital site of a private patient who is a same day patient—</w:t>
            </w:r>
          </w:p>
        </w:tc>
        <w:tc>
          <w:tcPr>
            <w:tcW w:w="1214" w:type="pct"/>
          </w:tcPr>
          <w:p w14:paraId="2852924E"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p>
        </w:tc>
      </w:tr>
      <w:tr w:rsidR="00E24C16" w:rsidRPr="00E24C16" w14:paraId="7025AFAF" w14:textId="77777777" w:rsidTr="008D3E3A">
        <w:tc>
          <w:tcPr>
            <w:tcW w:w="3786" w:type="pct"/>
          </w:tcPr>
          <w:p w14:paraId="241B33E4"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602" w:hanging="283"/>
              <w:jc w:val="left"/>
              <w:rPr>
                <w:bCs/>
                <w:sz w:val="17"/>
                <w:szCs w:val="17"/>
                <w:lang w:val="en-GB"/>
              </w:rPr>
            </w:pPr>
            <w:r w:rsidRPr="00E24C16">
              <w:rPr>
                <w:bCs/>
                <w:sz w:val="17"/>
                <w:szCs w:val="17"/>
                <w:lang w:val="en-GB"/>
              </w:rPr>
              <w:t>(a)</w:t>
            </w:r>
            <w:r w:rsidRPr="00E24C16">
              <w:rPr>
                <w:bCs/>
                <w:sz w:val="17"/>
                <w:szCs w:val="17"/>
                <w:lang w:val="en-GB"/>
              </w:rPr>
              <w:tab/>
              <w:t xml:space="preserve">for gastro-intestinal endoscopy or other minor surgical and non-surgical procedures that </w:t>
            </w:r>
            <w:r w:rsidRPr="00E24C16">
              <w:rPr>
                <w:bCs/>
                <w:sz w:val="17"/>
                <w:szCs w:val="17"/>
                <w:lang w:val="en-GB"/>
              </w:rPr>
              <w:br/>
              <w:t>do not normally require an anaesthetic (Band 1)</w:t>
            </w:r>
          </w:p>
        </w:tc>
        <w:tc>
          <w:tcPr>
            <w:tcW w:w="1214" w:type="pct"/>
          </w:tcPr>
          <w:p w14:paraId="42A28719"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$324.00</w:t>
            </w:r>
          </w:p>
        </w:tc>
      </w:tr>
      <w:tr w:rsidR="00E24C16" w:rsidRPr="00E24C16" w14:paraId="204DDEFE" w14:textId="77777777" w:rsidTr="008D3E3A">
        <w:tc>
          <w:tcPr>
            <w:tcW w:w="3786" w:type="pct"/>
          </w:tcPr>
          <w:p w14:paraId="70D1B219"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602" w:hanging="283"/>
              <w:jc w:val="left"/>
              <w:rPr>
                <w:bCs/>
                <w:sz w:val="17"/>
                <w:szCs w:val="17"/>
                <w:lang w:val="en-GB"/>
              </w:rPr>
            </w:pPr>
            <w:r w:rsidRPr="00E24C16">
              <w:rPr>
                <w:bCs/>
                <w:sz w:val="17"/>
                <w:szCs w:val="17"/>
                <w:lang w:val="en-GB"/>
              </w:rPr>
              <w:t>(b)</w:t>
            </w:r>
            <w:r w:rsidRPr="00E24C16">
              <w:rPr>
                <w:bCs/>
                <w:sz w:val="17"/>
                <w:szCs w:val="17"/>
                <w:lang w:val="en-GB"/>
              </w:rPr>
              <w:tab/>
              <w:t xml:space="preserve">for procedures (other than Band 1 procedures) carried out under local anaesthetic with </w:t>
            </w:r>
            <w:r w:rsidRPr="00E24C16">
              <w:rPr>
                <w:bCs/>
                <w:sz w:val="17"/>
                <w:szCs w:val="17"/>
                <w:lang w:val="en-GB"/>
              </w:rPr>
              <w:br/>
              <w:t>no sedation given where the actual time in the theatre is less than one hour (Band 2)</w:t>
            </w:r>
          </w:p>
        </w:tc>
        <w:tc>
          <w:tcPr>
            <w:tcW w:w="1214" w:type="pct"/>
          </w:tcPr>
          <w:p w14:paraId="37AA6E15"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$372.00</w:t>
            </w:r>
          </w:p>
        </w:tc>
      </w:tr>
      <w:tr w:rsidR="00E24C16" w:rsidRPr="00E24C16" w14:paraId="73F2CA1C" w14:textId="77777777" w:rsidTr="008D3E3A">
        <w:tc>
          <w:tcPr>
            <w:tcW w:w="3786" w:type="pct"/>
          </w:tcPr>
          <w:p w14:paraId="66707510"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602" w:hanging="283"/>
              <w:jc w:val="left"/>
              <w:rPr>
                <w:bCs/>
                <w:sz w:val="17"/>
                <w:szCs w:val="17"/>
                <w:lang w:val="en-GB"/>
              </w:rPr>
            </w:pPr>
            <w:r w:rsidRPr="00E24C16">
              <w:rPr>
                <w:bCs/>
                <w:sz w:val="17"/>
                <w:szCs w:val="17"/>
                <w:lang w:val="en-GB"/>
              </w:rPr>
              <w:t>(c)</w:t>
            </w:r>
            <w:r w:rsidRPr="00E24C16">
              <w:rPr>
                <w:bCs/>
                <w:sz w:val="17"/>
                <w:szCs w:val="17"/>
                <w:lang w:val="en-GB"/>
              </w:rPr>
              <w:tab/>
              <w:t xml:space="preserve">for procedures (other than Band 1 procedures) carried out under general or regional anaesthesia or intravenous sedation where the actual time in the theatre is less than </w:t>
            </w:r>
            <w:r w:rsidRPr="00E24C16">
              <w:rPr>
                <w:bCs/>
                <w:sz w:val="17"/>
                <w:szCs w:val="17"/>
                <w:lang w:val="en-GB"/>
              </w:rPr>
              <w:br/>
              <w:t>one hour (Band 3)</w:t>
            </w:r>
          </w:p>
        </w:tc>
        <w:tc>
          <w:tcPr>
            <w:tcW w:w="1214" w:type="pct"/>
          </w:tcPr>
          <w:p w14:paraId="0347C8E6"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$408.00</w:t>
            </w:r>
          </w:p>
        </w:tc>
      </w:tr>
      <w:tr w:rsidR="00E24C16" w:rsidRPr="00E24C16" w14:paraId="195ACAED" w14:textId="77777777" w:rsidTr="008D3E3A">
        <w:tc>
          <w:tcPr>
            <w:tcW w:w="3786" w:type="pct"/>
          </w:tcPr>
          <w:p w14:paraId="44409AF8"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602" w:hanging="283"/>
              <w:jc w:val="left"/>
              <w:rPr>
                <w:bCs/>
                <w:sz w:val="17"/>
                <w:szCs w:val="17"/>
                <w:lang w:val="en-GB"/>
              </w:rPr>
            </w:pPr>
            <w:r w:rsidRPr="00E24C16">
              <w:rPr>
                <w:bCs/>
                <w:sz w:val="17"/>
                <w:szCs w:val="17"/>
                <w:lang w:val="en-GB"/>
              </w:rPr>
              <w:t>(d)</w:t>
            </w:r>
            <w:r w:rsidRPr="00E24C16">
              <w:rPr>
                <w:bCs/>
                <w:sz w:val="17"/>
                <w:szCs w:val="17"/>
                <w:lang w:val="en-GB"/>
              </w:rPr>
              <w:tab/>
              <w:t>for any procedures carried out under general or regional anaesthesia or intravenous sedation where the actual time in the theatre is one hour or more (Band 4)</w:t>
            </w:r>
          </w:p>
        </w:tc>
        <w:tc>
          <w:tcPr>
            <w:tcW w:w="1214" w:type="pct"/>
          </w:tcPr>
          <w:p w14:paraId="7D86042A"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$446.00</w:t>
            </w:r>
          </w:p>
        </w:tc>
      </w:tr>
      <w:tr w:rsidR="00E24C16" w:rsidRPr="00E24C16" w14:paraId="096517EF" w14:textId="77777777" w:rsidTr="008D3E3A">
        <w:tc>
          <w:tcPr>
            <w:tcW w:w="3786" w:type="pct"/>
          </w:tcPr>
          <w:p w14:paraId="4B27AFC0"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9" w:hanging="319"/>
              <w:jc w:val="left"/>
              <w:rPr>
                <w:bCs/>
                <w:sz w:val="17"/>
                <w:szCs w:val="17"/>
                <w:lang w:val="en-GB"/>
              </w:rPr>
            </w:pPr>
            <w:r w:rsidRPr="00E24C16">
              <w:rPr>
                <w:bCs/>
                <w:sz w:val="17"/>
                <w:szCs w:val="17"/>
                <w:lang w:val="en-GB"/>
              </w:rPr>
              <w:t>5.</w:t>
            </w:r>
            <w:r w:rsidRPr="00E24C16">
              <w:rPr>
                <w:bCs/>
                <w:sz w:val="17"/>
                <w:szCs w:val="17"/>
                <w:lang w:val="en-GB"/>
              </w:rPr>
              <w:tab/>
              <w:t xml:space="preserve">For the accommodation, maintenance, care and treatment at a public hospital site of a public </w:t>
            </w:r>
            <w:r w:rsidRPr="00E24C16">
              <w:rPr>
                <w:bCs/>
                <w:sz w:val="17"/>
                <w:szCs w:val="17"/>
                <w:lang w:val="en-GB"/>
              </w:rPr>
              <w:br/>
              <w:t>long stay patient who is acutely ill</w:t>
            </w:r>
          </w:p>
        </w:tc>
        <w:tc>
          <w:tcPr>
            <w:tcW w:w="1214" w:type="pct"/>
          </w:tcPr>
          <w:p w14:paraId="4C8E47CB"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no fee</w:t>
            </w:r>
          </w:p>
        </w:tc>
      </w:tr>
      <w:tr w:rsidR="00E24C16" w:rsidRPr="00E24C16" w14:paraId="70F47266" w14:textId="77777777" w:rsidTr="008D3E3A">
        <w:tc>
          <w:tcPr>
            <w:tcW w:w="3786" w:type="pct"/>
          </w:tcPr>
          <w:p w14:paraId="0653CF7E"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9" w:hanging="319"/>
              <w:jc w:val="left"/>
              <w:rPr>
                <w:bCs/>
                <w:sz w:val="17"/>
                <w:szCs w:val="17"/>
                <w:lang w:val="en-GB"/>
              </w:rPr>
            </w:pPr>
            <w:r w:rsidRPr="00E24C16">
              <w:rPr>
                <w:bCs/>
                <w:sz w:val="17"/>
                <w:szCs w:val="17"/>
                <w:lang w:val="en-GB"/>
              </w:rPr>
              <w:t>6.</w:t>
            </w:r>
            <w:r w:rsidRPr="00E24C16">
              <w:rPr>
                <w:bCs/>
                <w:sz w:val="17"/>
                <w:szCs w:val="17"/>
                <w:lang w:val="en-GB"/>
              </w:rPr>
              <w:tab/>
              <w:t xml:space="preserve">For the accommodation, maintenance, care and treatment at a public hospital site of a public </w:t>
            </w:r>
            <w:r w:rsidRPr="00E24C16">
              <w:rPr>
                <w:bCs/>
                <w:sz w:val="17"/>
                <w:szCs w:val="17"/>
                <w:lang w:val="en-GB"/>
              </w:rPr>
              <w:br/>
              <w:t>long stay patient who is not acutely ill, excluding category 8</w:t>
            </w:r>
          </w:p>
        </w:tc>
        <w:tc>
          <w:tcPr>
            <w:tcW w:w="1214" w:type="pct"/>
          </w:tcPr>
          <w:p w14:paraId="584BD9EE"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 xml:space="preserve">87.5 per cent of the </w:t>
            </w:r>
            <w:r w:rsidRPr="00E24C16">
              <w:rPr>
                <w:bCs/>
                <w:sz w:val="17"/>
                <w:szCs w:val="17"/>
                <w:lang w:val="en-GB"/>
              </w:rPr>
              <w:br/>
              <w:t>Commonwealth benefit</w:t>
            </w:r>
          </w:p>
        </w:tc>
      </w:tr>
      <w:tr w:rsidR="00E24C16" w:rsidRPr="00E24C16" w14:paraId="780DF5F9" w14:textId="77777777" w:rsidTr="008D3E3A">
        <w:tc>
          <w:tcPr>
            <w:tcW w:w="3786" w:type="pct"/>
          </w:tcPr>
          <w:p w14:paraId="6CD5A551"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9" w:hanging="319"/>
              <w:jc w:val="left"/>
              <w:rPr>
                <w:bCs/>
                <w:sz w:val="17"/>
                <w:szCs w:val="17"/>
                <w:lang w:val="en-GB"/>
              </w:rPr>
            </w:pPr>
            <w:r w:rsidRPr="00E24C16">
              <w:rPr>
                <w:bCs/>
                <w:sz w:val="17"/>
                <w:szCs w:val="17"/>
                <w:lang w:val="en-GB"/>
              </w:rPr>
              <w:t>7.</w:t>
            </w:r>
            <w:r w:rsidRPr="00E24C16">
              <w:rPr>
                <w:bCs/>
                <w:sz w:val="17"/>
                <w:szCs w:val="17"/>
                <w:lang w:val="en-GB"/>
              </w:rPr>
              <w:tab/>
              <w:t xml:space="preserve">For the accommodation, maintenance, care and treatment at a public hospital site of a private </w:t>
            </w:r>
            <w:r w:rsidRPr="00E24C16">
              <w:rPr>
                <w:bCs/>
                <w:sz w:val="17"/>
                <w:szCs w:val="17"/>
                <w:lang w:val="en-GB"/>
              </w:rPr>
              <w:br/>
              <w:t>long stay patient who is not acutely ill</w:t>
            </w:r>
          </w:p>
        </w:tc>
        <w:tc>
          <w:tcPr>
            <w:tcW w:w="1214" w:type="pct"/>
          </w:tcPr>
          <w:p w14:paraId="5B3414C7"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 xml:space="preserve">$150.00 plus </w:t>
            </w:r>
            <w:r w:rsidRPr="00E24C16">
              <w:rPr>
                <w:bCs/>
                <w:sz w:val="17"/>
                <w:szCs w:val="17"/>
                <w:lang w:val="en-GB"/>
              </w:rPr>
              <w:br/>
              <w:t>87.5 per cent of the Commonwealth Benefit</w:t>
            </w:r>
          </w:p>
        </w:tc>
      </w:tr>
      <w:tr w:rsidR="00E24C16" w:rsidRPr="00E24C16" w14:paraId="1753EC15" w14:textId="77777777" w:rsidTr="008D3E3A">
        <w:tc>
          <w:tcPr>
            <w:tcW w:w="3786" w:type="pct"/>
          </w:tcPr>
          <w:p w14:paraId="4AA24FF0"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9" w:hanging="319"/>
              <w:jc w:val="left"/>
              <w:rPr>
                <w:bCs/>
                <w:sz w:val="17"/>
                <w:szCs w:val="17"/>
                <w:lang w:val="en-GB"/>
              </w:rPr>
            </w:pPr>
            <w:r w:rsidRPr="00E24C16">
              <w:rPr>
                <w:bCs/>
                <w:sz w:val="17"/>
                <w:szCs w:val="17"/>
                <w:lang w:val="en-GB"/>
              </w:rPr>
              <w:t>8.</w:t>
            </w:r>
            <w:r w:rsidRPr="00E24C16">
              <w:rPr>
                <w:bCs/>
                <w:sz w:val="17"/>
                <w:szCs w:val="17"/>
                <w:lang w:val="en-GB"/>
              </w:rPr>
              <w:tab/>
              <w:t xml:space="preserve">For Hospital Nursing Home Service patients. These patients are not long-stay patients and </w:t>
            </w:r>
            <w:r w:rsidRPr="00E24C16">
              <w:rPr>
                <w:bCs/>
                <w:sz w:val="17"/>
                <w:szCs w:val="17"/>
                <w:lang w:val="en-GB"/>
              </w:rPr>
              <w:br/>
              <w:t>should be charged from their first day at the public hospital site</w:t>
            </w:r>
          </w:p>
        </w:tc>
        <w:tc>
          <w:tcPr>
            <w:tcW w:w="1214" w:type="pct"/>
          </w:tcPr>
          <w:p w14:paraId="4FE1750A"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 xml:space="preserve">equivalent to the ‘Australian Government Department of Health Schedule of Fees and Charges for Residential </w:t>
            </w:r>
            <w:r w:rsidRPr="00E24C16">
              <w:rPr>
                <w:bCs/>
                <w:sz w:val="17"/>
                <w:szCs w:val="17"/>
                <w:lang w:val="en-GB"/>
              </w:rPr>
              <w:br/>
              <w:t>and Home Care’</w:t>
            </w:r>
          </w:p>
        </w:tc>
      </w:tr>
      <w:tr w:rsidR="00E24C16" w:rsidRPr="00E24C16" w14:paraId="1247A79E" w14:textId="77777777" w:rsidTr="008D3E3A">
        <w:tc>
          <w:tcPr>
            <w:tcW w:w="3786" w:type="pct"/>
          </w:tcPr>
          <w:p w14:paraId="0994A73E"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9" w:hanging="319"/>
              <w:jc w:val="left"/>
              <w:rPr>
                <w:bCs/>
                <w:sz w:val="17"/>
                <w:szCs w:val="17"/>
                <w:lang w:val="en-GB"/>
              </w:rPr>
            </w:pPr>
            <w:r w:rsidRPr="00E24C16">
              <w:rPr>
                <w:bCs/>
                <w:sz w:val="17"/>
                <w:szCs w:val="17"/>
                <w:lang w:val="en-GB"/>
              </w:rPr>
              <w:t>9.</w:t>
            </w:r>
            <w:r w:rsidRPr="00E24C16">
              <w:rPr>
                <w:bCs/>
                <w:sz w:val="17"/>
                <w:szCs w:val="17"/>
                <w:lang w:val="en-GB"/>
              </w:rPr>
              <w:tab/>
              <w:t>For hospital in the home services provided by a public hospital site to a private patient</w:t>
            </w:r>
          </w:p>
        </w:tc>
        <w:tc>
          <w:tcPr>
            <w:tcW w:w="1214" w:type="pct"/>
          </w:tcPr>
          <w:p w14:paraId="26E09F2F"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r w:rsidRPr="00E24C16">
              <w:rPr>
                <w:bCs/>
                <w:sz w:val="17"/>
                <w:szCs w:val="17"/>
                <w:lang w:val="en-GB"/>
              </w:rPr>
              <w:t xml:space="preserve">$191.00 </w:t>
            </w:r>
            <w:r w:rsidRPr="00E24C16">
              <w:rPr>
                <w:bCs/>
                <w:sz w:val="17"/>
                <w:szCs w:val="17"/>
                <w:lang w:val="en-GB"/>
              </w:rPr>
              <w:br/>
              <w:t>(maximum fee/day)</w:t>
            </w:r>
          </w:p>
        </w:tc>
      </w:tr>
      <w:tr w:rsidR="00E24C16" w:rsidRPr="00E24C16" w14:paraId="7D6F125B" w14:textId="77777777" w:rsidTr="008D3E3A">
        <w:tc>
          <w:tcPr>
            <w:tcW w:w="3786" w:type="pct"/>
          </w:tcPr>
          <w:p w14:paraId="61F60E32"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9" w:hanging="319"/>
              <w:jc w:val="left"/>
              <w:rPr>
                <w:bCs/>
                <w:sz w:val="17"/>
                <w:szCs w:val="17"/>
                <w:lang w:val="en-GB"/>
              </w:rPr>
            </w:pPr>
            <w:r w:rsidRPr="00E24C16">
              <w:rPr>
                <w:bCs/>
                <w:sz w:val="17"/>
                <w:szCs w:val="17"/>
                <w:lang w:val="en-GB"/>
              </w:rPr>
              <w:t>10.</w:t>
            </w:r>
            <w:r w:rsidRPr="00E24C16">
              <w:rPr>
                <w:bCs/>
                <w:sz w:val="17"/>
                <w:szCs w:val="17"/>
                <w:lang w:val="en-GB"/>
              </w:rPr>
              <w:tab/>
              <w:t>Pharmaceutical Reform Arrangements</w:t>
            </w:r>
          </w:p>
        </w:tc>
        <w:tc>
          <w:tcPr>
            <w:tcW w:w="1214" w:type="pct"/>
          </w:tcPr>
          <w:p w14:paraId="378B7E0A"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bCs/>
                <w:sz w:val="17"/>
                <w:szCs w:val="17"/>
                <w:lang w:val="en-GB"/>
              </w:rPr>
            </w:pPr>
          </w:p>
        </w:tc>
      </w:tr>
      <w:tr w:rsidR="00E24C16" w:rsidRPr="00E24C16" w14:paraId="75826D59" w14:textId="77777777" w:rsidTr="008D3E3A">
        <w:tc>
          <w:tcPr>
            <w:tcW w:w="3786" w:type="pct"/>
          </w:tcPr>
          <w:p w14:paraId="29202D43"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9"/>
              <w:jc w:val="left"/>
              <w:rPr>
                <w:sz w:val="17"/>
                <w:szCs w:val="17"/>
              </w:rPr>
            </w:pPr>
            <w:r w:rsidRPr="00E24C16">
              <w:rPr>
                <w:sz w:val="17"/>
                <w:szCs w:val="17"/>
              </w:rPr>
              <w:t xml:space="preserve">Under the agreement between the South Australian and the </w:t>
            </w:r>
            <w:r w:rsidRPr="00E24C16">
              <w:rPr>
                <w:bCs/>
                <w:sz w:val="17"/>
                <w:szCs w:val="17"/>
                <w:lang w:val="en-GB"/>
              </w:rPr>
              <w:t>Australian Government the following fees apply for</w:t>
            </w:r>
            <w:r w:rsidRPr="00E24C16">
              <w:rPr>
                <w:sz w:val="17"/>
                <w:szCs w:val="17"/>
              </w:rPr>
              <w:t xml:space="preserve"> pharmaceuticals provided to admitted patients on discharge </w:t>
            </w:r>
            <w:r w:rsidRPr="00E24C16">
              <w:rPr>
                <w:sz w:val="17"/>
                <w:szCs w:val="17"/>
              </w:rPr>
              <w:br/>
              <w:t>or outpatients:</w:t>
            </w:r>
          </w:p>
        </w:tc>
        <w:tc>
          <w:tcPr>
            <w:tcW w:w="1214" w:type="pct"/>
          </w:tcPr>
          <w:p w14:paraId="52753516"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sz w:val="17"/>
                <w:szCs w:val="17"/>
              </w:rPr>
            </w:pPr>
          </w:p>
        </w:tc>
      </w:tr>
      <w:tr w:rsidR="00E24C16" w:rsidRPr="00E24C16" w14:paraId="5E90C745" w14:textId="77777777" w:rsidTr="00F33B60">
        <w:tc>
          <w:tcPr>
            <w:tcW w:w="3786" w:type="pct"/>
          </w:tcPr>
          <w:p w14:paraId="27A9DFCD"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602" w:hanging="283"/>
              <w:jc w:val="left"/>
              <w:rPr>
                <w:sz w:val="17"/>
                <w:szCs w:val="17"/>
              </w:rPr>
            </w:pPr>
            <w:r w:rsidRPr="00E24C16">
              <w:rPr>
                <w:sz w:val="17"/>
                <w:szCs w:val="17"/>
              </w:rPr>
              <w:t>(a)</w:t>
            </w:r>
            <w:r w:rsidRPr="00E24C16">
              <w:rPr>
                <w:bCs/>
                <w:sz w:val="17"/>
                <w:szCs w:val="17"/>
                <w:lang w:val="en-GB"/>
              </w:rPr>
              <w:tab/>
            </w:r>
            <w:r w:rsidRPr="00E24C16">
              <w:rPr>
                <w:sz w:val="17"/>
                <w:szCs w:val="17"/>
              </w:rPr>
              <w:t>For the supply of Pharmaceutical Benefit Scheme items (per item)</w:t>
            </w:r>
          </w:p>
        </w:tc>
        <w:tc>
          <w:tcPr>
            <w:tcW w:w="1214" w:type="pct"/>
          </w:tcPr>
          <w:p w14:paraId="3AFB87AD"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sz w:val="17"/>
                <w:szCs w:val="17"/>
              </w:rPr>
            </w:pPr>
            <w:r w:rsidRPr="00E24C16">
              <w:rPr>
                <w:sz w:val="17"/>
                <w:szCs w:val="17"/>
              </w:rPr>
              <w:t xml:space="preserve">the community co-payment rate for pharmaceuticals as set under the </w:t>
            </w:r>
            <w:r w:rsidRPr="00E24C16">
              <w:rPr>
                <w:i/>
                <w:sz w:val="17"/>
                <w:szCs w:val="17"/>
              </w:rPr>
              <w:t>Commonwealth National Health Act 1953</w:t>
            </w:r>
            <w:r w:rsidRPr="00E24C16">
              <w:rPr>
                <w:sz w:val="17"/>
                <w:szCs w:val="17"/>
              </w:rPr>
              <w:t xml:space="preserve"> each year on 1 January</w:t>
            </w:r>
          </w:p>
        </w:tc>
      </w:tr>
      <w:tr w:rsidR="00E24C16" w:rsidRPr="00E24C16" w14:paraId="1C734801" w14:textId="77777777" w:rsidTr="00F33B60">
        <w:tc>
          <w:tcPr>
            <w:tcW w:w="3786" w:type="pct"/>
          </w:tcPr>
          <w:p w14:paraId="73399095"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602" w:hanging="283"/>
              <w:jc w:val="left"/>
              <w:rPr>
                <w:sz w:val="17"/>
                <w:szCs w:val="17"/>
              </w:rPr>
            </w:pPr>
            <w:r w:rsidRPr="00E24C16">
              <w:rPr>
                <w:sz w:val="17"/>
                <w:szCs w:val="17"/>
              </w:rPr>
              <w:t>(b)</w:t>
            </w:r>
            <w:r w:rsidRPr="00E24C16">
              <w:rPr>
                <w:bCs/>
                <w:sz w:val="17"/>
                <w:szCs w:val="17"/>
                <w:lang w:val="en-GB"/>
              </w:rPr>
              <w:tab/>
            </w:r>
            <w:r w:rsidRPr="00E24C16">
              <w:rPr>
                <w:sz w:val="17"/>
                <w:szCs w:val="17"/>
              </w:rPr>
              <w:t>For the supply of over-the-counter items (per item)</w:t>
            </w:r>
          </w:p>
        </w:tc>
        <w:tc>
          <w:tcPr>
            <w:tcW w:w="1214" w:type="pct"/>
          </w:tcPr>
          <w:p w14:paraId="026CA143" w14:textId="77777777" w:rsidR="00E24C16" w:rsidRPr="00E24C16" w:rsidRDefault="00E24C16" w:rsidP="0022033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rPr>
                <w:sz w:val="17"/>
                <w:szCs w:val="17"/>
              </w:rPr>
            </w:pPr>
            <w:r w:rsidRPr="00E24C16">
              <w:rPr>
                <w:sz w:val="17"/>
                <w:szCs w:val="17"/>
              </w:rPr>
              <w:t>an amount that is the cost to the public hospital (using a full cost recovery principle) for supply of that item</w:t>
            </w:r>
          </w:p>
        </w:tc>
      </w:tr>
    </w:tbl>
    <w:p w14:paraId="4AFFD183" w14:textId="77777777" w:rsidR="00E24C16" w:rsidRDefault="00E24C16" w:rsidP="00E24C16">
      <w:pPr>
        <w:pBdr>
          <w:bottom w:val="single" w:sz="4" w:space="1" w:color="auto"/>
        </w:pBdr>
        <w:spacing w:after="0" w:line="52" w:lineRule="exact"/>
        <w:jc w:val="center"/>
        <w:rPr>
          <w:rFonts w:ascii="Times New Roman" w:eastAsia="Times New Roman" w:hAnsi="Times New Roman"/>
          <w:sz w:val="17"/>
          <w:szCs w:val="17"/>
        </w:rPr>
      </w:pPr>
    </w:p>
    <w:p w14:paraId="7AA6EF59" w14:textId="77777777" w:rsidR="00E24C16" w:rsidRDefault="00E24C16" w:rsidP="00E24C16">
      <w:pPr>
        <w:pBdr>
          <w:top w:val="single" w:sz="4" w:space="1" w:color="auto"/>
        </w:pBdr>
        <w:spacing w:before="34" w:after="0" w:line="14" w:lineRule="exact"/>
        <w:jc w:val="center"/>
        <w:rPr>
          <w:rFonts w:ascii="Times New Roman" w:eastAsia="Times New Roman" w:hAnsi="Times New Roman"/>
          <w:sz w:val="17"/>
          <w:szCs w:val="17"/>
        </w:rPr>
      </w:pPr>
    </w:p>
    <w:p w14:paraId="3A14F1D8" w14:textId="5C8C52D7" w:rsidR="00600138" w:rsidRDefault="00600138">
      <w:pPr>
        <w:spacing w:after="0" w:line="240" w:lineRule="auto"/>
        <w:jc w:val="left"/>
        <w:rPr>
          <w:rFonts w:ascii="Times New Roman" w:eastAsia="Times New Roman" w:hAnsi="Times New Roman"/>
          <w:sz w:val="17"/>
          <w:szCs w:val="17"/>
        </w:rPr>
      </w:pPr>
      <w:r>
        <w:br w:type="page"/>
      </w:r>
    </w:p>
    <w:p w14:paraId="7086C671" w14:textId="77777777" w:rsidR="00600138" w:rsidRPr="00600138" w:rsidRDefault="00600138" w:rsidP="00F22072">
      <w:pPr>
        <w:pStyle w:val="Heading2"/>
      </w:pPr>
      <w:bookmarkStart w:id="4" w:name="_Toc202266564"/>
      <w:r w:rsidRPr="00600138">
        <w:lastRenderedPageBreak/>
        <w:t>Landscape South Australia Act 2019</w:t>
      </w:r>
      <w:bookmarkEnd w:id="4"/>
    </w:p>
    <w:p w14:paraId="7D77DF7F" w14:textId="77777777" w:rsidR="00600138" w:rsidRPr="00600138" w:rsidRDefault="00600138" w:rsidP="00600138">
      <w:pPr>
        <w:jc w:val="center"/>
        <w:rPr>
          <w:rFonts w:ascii="Times New Roman" w:hAnsi="Times New Roman"/>
          <w:i/>
          <w:sz w:val="17"/>
          <w:szCs w:val="17"/>
        </w:rPr>
      </w:pPr>
      <w:r w:rsidRPr="00600138">
        <w:rPr>
          <w:rFonts w:ascii="Times New Roman" w:hAnsi="Times New Roman"/>
          <w:i/>
          <w:sz w:val="17"/>
          <w:szCs w:val="17"/>
        </w:rPr>
        <w:t>Southern Basins and Musgrave Prescribed Wells Areas Water Allocation Plan</w:t>
      </w:r>
    </w:p>
    <w:p w14:paraId="7AC6147A" w14:textId="77777777" w:rsidR="00600138" w:rsidRPr="00600138" w:rsidRDefault="00600138" w:rsidP="00600138">
      <w:pPr>
        <w:rPr>
          <w:rFonts w:ascii="Times New Roman" w:eastAsia="Times New Roman" w:hAnsi="Times New Roman"/>
          <w:sz w:val="17"/>
          <w:szCs w:val="17"/>
        </w:rPr>
      </w:pPr>
      <w:r w:rsidRPr="00600138">
        <w:rPr>
          <w:rFonts w:ascii="Times New Roman" w:eastAsia="Times New Roman" w:hAnsi="Times New Roman"/>
          <w:sz w:val="17"/>
          <w:szCs w:val="17"/>
        </w:rPr>
        <w:t xml:space="preserve">I, Susan Close, the Minister for Climate, Environment and Water, to whom administration of the </w:t>
      </w:r>
      <w:r w:rsidRPr="00600138">
        <w:rPr>
          <w:rFonts w:ascii="Times New Roman" w:eastAsia="Times New Roman" w:hAnsi="Times New Roman"/>
          <w:i/>
          <w:iCs/>
          <w:sz w:val="17"/>
          <w:szCs w:val="17"/>
        </w:rPr>
        <w:t>Landscape South Australia Act 2019</w:t>
      </w:r>
      <w:r w:rsidRPr="00600138">
        <w:rPr>
          <w:rFonts w:ascii="Times New Roman" w:eastAsia="Times New Roman" w:hAnsi="Times New Roman"/>
          <w:sz w:val="17"/>
          <w:szCs w:val="17"/>
        </w:rPr>
        <w:t xml:space="preserve"> is committed, hereby give notice for the purposes of the Water Allocation Plan for the Southern Basins and Musgrave Prescribed Wells Areas adopted under Section 56 of the </w:t>
      </w:r>
      <w:r w:rsidRPr="00600138">
        <w:rPr>
          <w:rFonts w:ascii="Times New Roman" w:eastAsia="Times New Roman" w:hAnsi="Times New Roman"/>
          <w:i/>
          <w:iCs/>
          <w:sz w:val="17"/>
          <w:szCs w:val="17"/>
        </w:rPr>
        <w:t>Landscape South Australia Act 2019</w:t>
      </w:r>
      <w:r w:rsidRPr="00600138">
        <w:rPr>
          <w:rFonts w:ascii="Times New Roman" w:eastAsia="Times New Roman" w:hAnsi="Times New Roman"/>
          <w:sz w:val="17"/>
          <w:szCs w:val="17"/>
        </w:rPr>
        <w:t>, of the level of storage, the proportion of water available and the calculated value of an individual unit share of a water access entitlement for the respective Quaternary consumptive pools for the 2025-26 water use year, in addition to the total volume of each consumptive pool as set out below:</w:t>
      </w:r>
    </w:p>
    <w:p w14:paraId="1C0C8A94" w14:textId="77777777" w:rsidR="00600138" w:rsidRPr="00600138" w:rsidRDefault="00600138" w:rsidP="00600138">
      <w:pPr>
        <w:jc w:val="center"/>
        <w:rPr>
          <w:rFonts w:ascii="Times New Roman" w:hAnsi="Times New Roman"/>
          <w:smallCaps/>
          <w:sz w:val="17"/>
          <w:szCs w:val="17"/>
        </w:rPr>
      </w:pPr>
      <w:r w:rsidRPr="00600138">
        <w:rPr>
          <w:rFonts w:ascii="Times New Roman" w:hAnsi="Times New Roman"/>
          <w:smallCaps/>
          <w:sz w:val="17"/>
          <w:szCs w:val="17"/>
        </w:rPr>
        <w:t>Table 1</w:t>
      </w:r>
    </w:p>
    <w:p w14:paraId="282D05CA" w14:textId="77777777" w:rsidR="00600138" w:rsidRPr="00600138" w:rsidRDefault="00600138" w:rsidP="00600138">
      <w:pPr>
        <w:jc w:val="center"/>
        <w:rPr>
          <w:rFonts w:ascii="Times New Roman" w:hAnsi="Times New Roman"/>
          <w:i/>
          <w:sz w:val="17"/>
          <w:szCs w:val="17"/>
        </w:rPr>
      </w:pPr>
      <w:r w:rsidRPr="00600138">
        <w:rPr>
          <w:rFonts w:ascii="Times New Roman" w:hAnsi="Times New Roman"/>
          <w:i/>
          <w:sz w:val="17"/>
          <w:szCs w:val="17"/>
        </w:rPr>
        <w:t>Consumptive Pools Data for Southern Basins and Musgrave Prescribed Wells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8"/>
        <w:gridCol w:w="2553"/>
        <w:gridCol w:w="1276"/>
        <w:gridCol w:w="1417"/>
        <w:gridCol w:w="1276"/>
        <w:gridCol w:w="1270"/>
      </w:tblGrid>
      <w:tr w:rsidR="00600138" w:rsidRPr="00600138" w14:paraId="0EB68AE1" w14:textId="77777777" w:rsidTr="008D3E3A">
        <w:trPr>
          <w:tblHeader/>
        </w:trPr>
        <w:tc>
          <w:tcPr>
            <w:tcW w:w="1558" w:type="dxa"/>
            <w:tcBorders>
              <w:top w:val="single" w:sz="4" w:space="0" w:color="auto"/>
              <w:bottom w:val="single" w:sz="4" w:space="0" w:color="auto"/>
            </w:tcBorders>
            <w:vAlign w:val="center"/>
          </w:tcPr>
          <w:p w14:paraId="6243EECC" w14:textId="77777777" w:rsidR="00600138" w:rsidRPr="00600138" w:rsidRDefault="00600138" w:rsidP="00600138">
            <w:pPr>
              <w:spacing w:before="40" w:after="40"/>
              <w:jc w:val="center"/>
              <w:rPr>
                <w:b/>
                <w:bCs/>
                <w:sz w:val="17"/>
                <w:szCs w:val="17"/>
              </w:rPr>
            </w:pPr>
            <w:r w:rsidRPr="00600138">
              <w:rPr>
                <w:b/>
                <w:bCs/>
                <w:sz w:val="17"/>
                <w:szCs w:val="17"/>
              </w:rPr>
              <w:t>PWA</w:t>
            </w:r>
          </w:p>
        </w:tc>
        <w:tc>
          <w:tcPr>
            <w:tcW w:w="2553" w:type="dxa"/>
            <w:tcBorders>
              <w:top w:val="single" w:sz="4" w:space="0" w:color="auto"/>
              <w:bottom w:val="single" w:sz="4" w:space="0" w:color="auto"/>
            </w:tcBorders>
            <w:vAlign w:val="center"/>
          </w:tcPr>
          <w:p w14:paraId="632CEED6" w14:textId="77777777" w:rsidR="00600138" w:rsidRPr="00600138" w:rsidRDefault="00600138" w:rsidP="00600138">
            <w:pPr>
              <w:spacing w:before="40" w:after="40"/>
              <w:jc w:val="center"/>
              <w:rPr>
                <w:b/>
                <w:bCs/>
                <w:sz w:val="17"/>
                <w:szCs w:val="17"/>
              </w:rPr>
            </w:pPr>
            <w:r w:rsidRPr="00600138">
              <w:rPr>
                <w:b/>
                <w:bCs/>
                <w:sz w:val="17"/>
                <w:szCs w:val="17"/>
              </w:rPr>
              <w:t>Consumptive Pool</w:t>
            </w:r>
          </w:p>
        </w:tc>
        <w:tc>
          <w:tcPr>
            <w:tcW w:w="1276" w:type="dxa"/>
            <w:tcBorders>
              <w:top w:val="single" w:sz="4" w:space="0" w:color="auto"/>
              <w:bottom w:val="single" w:sz="4" w:space="0" w:color="auto"/>
            </w:tcBorders>
            <w:vAlign w:val="center"/>
          </w:tcPr>
          <w:p w14:paraId="4DD362B4" w14:textId="77777777" w:rsidR="00600138" w:rsidRPr="00600138" w:rsidRDefault="00600138" w:rsidP="00600138">
            <w:pPr>
              <w:spacing w:before="40" w:after="40"/>
              <w:jc w:val="center"/>
              <w:rPr>
                <w:b/>
                <w:bCs/>
                <w:sz w:val="17"/>
                <w:szCs w:val="17"/>
              </w:rPr>
            </w:pPr>
            <w:r w:rsidRPr="00600138">
              <w:rPr>
                <w:b/>
                <w:bCs/>
                <w:sz w:val="17"/>
                <w:szCs w:val="17"/>
              </w:rPr>
              <w:t>Level of Storage (%)</w:t>
            </w:r>
          </w:p>
        </w:tc>
        <w:tc>
          <w:tcPr>
            <w:tcW w:w="1417" w:type="dxa"/>
            <w:tcBorders>
              <w:top w:val="single" w:sz="4" w:space="0" w:color="auto"/>
              <w:bottom w:val="single" w:sz="4" w:space="0" w:color="auto"/>
            </w:tcBorders>
            <w:vAlign w:val="center"/>
          </w:tcPr>
          <w:p w14:paraId="417E80DC" w14:textId="77777777" w:rsidR="00600138" w:rsidRPr="00600138" w:rsidRDefault="00600138" w:rsidP="00600138">
            <w:pPr>
              <w:spacing w:before="40" w:after="40"/>
              <w:jc w:val="center"/>
              <w:rPr>
                <w:b/>
                <w:bCs/>
                <w:sz w:val="17"/>
                <w:szCs w:val="17"/>
              </w:rPr>
            </w:pPr>
            <w:r w:rsidRPr="00600138">
              <w:rPr>
                <w:b/>
                <w:bCs/>
                <w:sz w:val="17"/>
                <w:szCs w:val="17"/>
              </w:rPr>
              <w:t>Proportion of Water Available (%)</w:t>
            </w:r>
          </w:p>
        </w:tc>
        <w:tc>
          <w:tcPr>
            <w:tcW w:w="1276" w:type="dxa"/>
            <w:tcBorders>
              <w:top w:val="single" w:sz="4" w:space="0" w:color="auto"/>
              <w:bottom w:val="single" w:sz="4" w:space="0" w:color="auto"/>
            </w:tcBorders>
            <w:vAlign w:val="center"/>
          </w:tcPr>
          <w:p w14:paraId="2D226039" w14:textId="77777777" w:rsidR="00600138" w:rsidRPr="00600138" w:rsidRDefault="00600138" w:rsidP="00600138">
            <w:pPr>
              <w:spacing w:before="40" w:after="40"/>
              <w:jc w:val="center"/>
              <w:rPr>
                <w:b/>
                <w:bCs/>
                <w:sz w:val="17"/>
                <w:szCs w:val="17"/>
              </w:rPr>
            </w:pPr>
            <w:r w:rsidRPr="00600138">
              <w:rPr>
                <w:b/>
                <w:bCs/>
                <w:sz w:val="17"/>
                <w:szCs w:val="17"/>
              </w:rPr>
              <w:t>Value of Share</w:t>
            </w:r>
          </w:p>
        </w:tc>
        <w:tc>
          <w:tcPr>
            <w:tcW w:w="1270" w:type="dxa"/>
            <w:tcBorders>
              <w:top w:val="single" w:sz="4" w:space="0" w:color="auto"/>
              <w:bottom w:val="single" w:sz="4" w:space="0" w:color="auto"/>
            </w:tcBorders>
            <w:vAlign w:val="center"/>
          </w:tcPr>
          <w:p w14:paraId="1AD23E8E" w14:textId="77777777" w:rsidR="00600138" w:rsidRPr="00600138" w:rsidRDefault="00600138" w:rsidP="00600138">
            <w:pPr>
              <w:spacing w:before="40" w:after="40"/>
              <w:jc w:val="center"/>
              <w:rPr>
                <w:b/>
                <w:bCs/>
                <w:sz w:val="17"/>
                <w:szCs w:val="17"/>
              </w:rPr>
            </w:pPr>
            <w:r w:rsidRPr="00600138">
              <w:rPr>
                <w:b/>
                <w:bCs/>
                <w:sz w:val="17"/>
                <w:szCs w:val="17"/>
              </w:rPr>
              <w:t xml:space="preserve">Volume of Consumptive </w:t>
            </w:r>
            <w:r w:rsidRPr="00600138">
              <w:rPr>
                <w:b/>
                <w:bCs/>
                <w:sz w:val="17"/>
                <w:szCs w:val="17"/>
              </w:rPr>
              <w:br/>
              <w:t>Pool (kL)</w:t>
            </w:r>
          </w:p>
        </w:tc>
      </w:tr>
      <w:tr w:rsidR="00600138" w:rsidRPr="00600138" w14:paraId="61C230A5" w14:textId="77777777" w:rsidTr="008D3E3A">
        <w:trPr>
          <w:tblHeader/>
        </w:trPr>
        <w:tc>
          <w:tcPr>
            <w:tcW w:w="1558" w:type="dxa"/>
            <w:tcBorders>
              <w:top w:val="single" w:sz="4" w:space="0" w:color="auto"/>
            </w:tcBorders>
          </w:tcPr>
          <w:p w14:paraId="0BFAA38C" w14:textId="77777777" w:rsidR="00600138" w:rsidRPr="00600138" w:rsidRDefault="00600138" w:rsidP="00600138">
            <w:pPr>
              <w:spacing w:after="0" w:line="40" w:lineRule="exact"/>
              <w:rPr>
                <w:b/>
                <w:bCs/>
                <w:sz w:val="17"/>
                <w:szCs w:val="17"/>
              </w:rPr>
            </w:pPr>
          </w:p>
        </w:tc>
        <w:tc>
          <w:tcPr>
            <w:tcW w:w="2553" w:type="dxa"/>
            <w:tcBorders>
              <w:top w:val="single" w:sz="4" w:space="0" w:color="auto"/>
            </w:tcBorders>
          </w:tcPr>
          <w:p w14:paraId="2960E21D" w14:textId="77777777" w:rsidR="00600138" w:rsidRPr="00600138" w:rsidRDefault="00600138" w:rsidP="00600138">
            <w:pPr>
              <w:spacing w:after="0" w:line="40" w:lineRule="exact"/>
              <w:rPr>
                <w:b/>
                <w:bCs/>
                <w:sz w:val="17"/>
                <w:szCs w:val="17"/>
              </w:rPr>
            </w:pPr>
          </w:p>
        </w:tc>
        <w:tc>
          <w:tcPr>
            <w:tcW w:w="1276" w:type="dxa"/>
            <w:tcBorders>
              <w:top w:val="single" w:sz="4" w:space="0" w:color="auto"/>
            </w:tcBorders>
          </w:tcPr>
          <w:p w14:paraId="04CF4B7B" w14:textId="77777777" w:rsidR="00600138" w:rsidRPr="00600138" w:rsidRDefault="00600138" w:rsidP="00600138">
            <w:pPr>
              <w:spacing w:after="0" w:line="40" w:lineRule="exact"/>
              <w:rPr>
                <w:b/>
                <w:bCs/>
                <w:sz w:val="17"/>
                <w:szCs w:val="17"/>
              </w:rPr>
            </w:pPr>
          </w:p>
        </w:tc>
        <w:tc>
          <w:tcPr>
            <w:tcW w:w="1417" w:type="dxa"/>
            <w:tcBorders>
              <w:top w:val="single" w:sz="4" w:space="0" w:color="auto"/>
            </w:tcBorders>
          </w:tcPr>
          <w:p w14:paraId="1F8F521A" w14:textId="77777777" w:rsidR="00600138" w:rsidRPr="00600138" w:rsidRDefault="00600138" w:rsidP="00600138">
            <w:pPr>
              <w:spacing w:after="0" w:line="40" w:lineRule="exact"/>
              <w:rPr>
                <w:b/>
                <w:bCs/>
                <w:sz w:val="17"/>
                <w:szCs w:val="17"/>
              </w:rPr>
            </w:pPr>
          </w:p>
        </w:tc>
        <w:tc>
          <w:tcPr>
            <w:tcW w:w="1276" w:type="dxa"/>
            <w:tcBorders>
              <w:top w:val="single" w:sz="4" w:space="0" w:color="auto"/>
            </w:tcBorders>
          </w:tcPr>
          <w:p w14:paraId="584D6D8F" w14:textId="77777777" w:rsidR="00600138" w:rsidRPr="00600138" w:rsidRDefault="00600138" w:rsidP="00600138">
            <w:pPr>
              <w:spacing w:after="0" w:line="40" w:lineRule="exact"/>
              <w:rPr>
                <w:b/>
                <w:bCs/>
                <w:sz w:val="17"/>
                <w:szCs w:val="17"/>
              </w:rPr>
            </w:pPr>
          </w:p>
        </w:tc>
        <w:tc>
          <w:tcPr>
            <w:tcW w:w="1270" w:type="dxa"/>
            <w:tcBorders>
              <w:top w:val="single" w:sz="4" w:space="0" w:color="auto"/>
            </w:tcBorders>
          </w:tcPr>
          <w:p w14:paraId="2D70F70B" w14:textId="77777777" w:rsidR="00600138" w:rsidRPr="00600138" w:rsidRDefault="00600138" w:rsidP="00600138">
            <w:pPr>
              <w:spacing w:after="0" w:line="40" w:lineRule="exact"/>
              <w:rPr>
                <w:b/>
                <w:bCs/>
                <w:sz w:val="17"/>
                <w:szCs w:val="17"/>
              </w:rPr>
            </w:pPr>
          </w:p>
        </w:tc>
      </w:tr>
      <w:tr w:rsidR="00600138" w:rsidRPr="00600138" w14:paraId="29A054FE" w14:textId="77777777" w:rsidTr="008D3E3A">
        <w:tc>
          <w:tcPr>
            <w:tcW w:w="1558" w:type="dxa"/>
            <w:vMerge w:val="restart"/>
            <w:textDirection w:val="btLr"/>
            <w:vAlign w:val="center"/>
          </w:tcPr>
          <w:p w14:paraId="71D10700" w14:textId="77777777" w:rsidR="00600138" w:rsidRPr="00600138" w:rsidRDefault="00600138" w:rsidP="00600138">
            <w:pPr>
              <w:jc w:val="center"/>
              <w:rPr>
                <w:sz w:val="17"/>
                <w:szCs w:val="17"/>
              </w:rPr>
            </w:pPr>
            <w:r w:rsidRPr="00600138">
              <w:rPr>
                <w:sz w:val="17"/>
                <w:szCs w:val="17"/>
              </w:rPr>
              <w:t>Southern Basins</w:t>
            </w:r>
          </w:p>
        </w:tc>
        <w:tc>
          <w:tcPr>
            <w:tcW w:w="2553" w:type="dxa"/>
          </w:tcPr>
          <w:p w14:paraId="7B067BC4" w14:textId="77777777" w:rsidR="00600138" w:rsidRPr="00600138" w:rsidRDefault="00600138" w:rsidP="00600138">
            <w:pPr>
              <w:spacing w:after="40"/>
              <w:rPr>
                <w:sz w:val="17"/>
                <w:szCs w:val="17"/>
              </w:rPr>
            </w:pPr>
            <w:r w:rsidRPr="00600138">
              <w:rPr>
                <w:sz w:val="17"/>
                <w:szCs w:val="17"/>
              </w:rPr>
              <w:t>Coffin Bay</w:t>
            </w:r>
          </w:p>
        </w:tc>
        <w:tc>
          <w:tcPr>
            <w:tcW w:w="1276" w:type="dxa"/>
            <w:vAlign w:val="bottom"/>
          </w:tcPr>
          <w:p w14:paraId="42C6F647" w14:textId="77777777" w:rsidR="00600138" w:rsidRPr="00600138" w:rsidRDefault="00600138" w:rsidP="00600138">
            <w:pPr>
              <w:spacing w:after="40"/>
              <w:jc w:val="center"/>
              <w:rPr>
                <w:sz w:val="17"/>
                <w:szCs w:val="17"/>
              </w:rPr>
            </w:pPr>
            <w:r w:rsidRPr="00600138">
              <w:rPr>
                <w:sz w:val="17"/>
                <w:szCs w:val="17"/>
              </w:rPr>
              <w:t>98.90</w:t>
            </w:r>
          </w:p>
        </w:tc>
        <w:tc>
          <w:tcPr>
            <w:tcW w:w="1417" w:type="dxa"/>
            <w:vAlign w:val="bottom"/>
          </w:tcPr>
          <w:p w14:paraId="65E2E72B" w14:textId="77777777" w:rsidR="00600138" w:rsidRPr="00600138" w:rsidRDefault="00600138" w:rsidP="00600138">
            <w:pPr>
              <w:spacing w:after="40"/>
              <w:ind w:right="570"/>
              <w:jc w:val="right"/>
              <w:rPr>
                <w:sz w:val="17"/>
                <w:szCs w:val="17"/>
              </w:rPr>
            </w:pPr>
            <w:r w:rsidRPr="00600138">
              <w:rPr>
                <w:sz w:val="17"/>
                <w:szCs w:val="17"/>
              </w:rPr>
              <w:t>100.0</w:t>
            </w:r>
          </w:p>
        </w:tc>
        <w:tc>
          <w:tcPr>
            <w:tcW w:w="1276" w:type="dxa"/>
            <w:vAlign w:val="bottom"/>
          </w:tcPr>
          <w:p w14:paraId="4CCB539B" w14:textId="77777777" w:rsidR="00600138" w:rsidRPr="00600138" w:rsidRDefault="00600138" w:rsidP="00600138">
            <w:pPr>
              <w:spacing w:after="40"/>
              <w:ind w:right="143"/>
              <w:jc w:val="right"/>
              <w:rPr>
                <w:sz w:val="17"/>
                <w:szCs w:val="17"/>
              </w:rPr>
            </w:pPr>
            <w:r w:rsidRPr="00600138">
              <w:rPr>
                <w:sz w:val="17"/>
                <w:szCs w:val="17"/>
              </w:rPr>
              <w:t>1.000</w:t>
            </w:r>
          </w:p>
        </w:tc>
        <w:tc>
          <w:tcPr>
            <w:tcW w:w="1270" w:type="dxa"/>
            <w:vAlign w:val="bottom"/>
          </w:tcPr>
          <w:p w14:paraId="2F534C3C" w14:textId="77777777" w:rsidR="00600138" w:rsidRPr="00600138" w:rsidRDefault="00600138" w:rsidP="00600138">
            <w:pPr>
              <w:spacing w:after="40"/>
              <w:ind w:right="275"/>
              <w:jc w:val="right"/>
              <w:rPr>
                <w:sz w:val="17"/>
                <w:szCs w:val="17"/>
              </w:rPr>
            </w:pPr>
            <w:r w:rsidRPr="00600138">
              <w:rPr>
                <w:sz w:val="17"/>
                <w:szCs w:val="17"/>
              </w:rPr>
              <w:t>138,170</w:t>
            </w:r>
          </w:p>
        </w:tc>
      </w:tr>
      <w:tr w:rsidR="00600138" w:rsidRPr="00600138" w14:paraId="483DB13A" w14:textId="77777777" w:rsidTr="008D3E3A">
        <w:tc>
          <w:tcPr>
            <w:tcW w:w="1558" w:type="dxa"/>
            <w:vMerge/>
          </w:tcPr>
          <w:p w14:paraId="06E95AC9" w14:textId="77777777" w:rsidR="00600138" w:rsidRPr="00600138" w:rsidRDefault="00600138" w:rsidP="00600138">
            <w:pPr>
              <w:rPr>
                <w:sz w:val="17"/>
                <w:szCs w:val="17"/>
              </w:rPr>
            </w:pPr>
          </w:p>
        </w:tc>
        <w:tc>
          <w:tcPr>
            <w:tcW w:w="2553" w:type="dxa"/>
          </w:tcPr>
          <w:p w14:paraId="414C8193" w14:textId="77777777" w:rsidR="00600138" w:rsidRPr="00600138" w:rsidRDefault="00600138" w:rsidP="00600138">
            <w:pPr>
              <w:spacing w:after="40"/>
              <w:rPr>
                <w:sz w:val="17"/>
                <w:szCs w:val="17"/>
              </w:rPr>
            </w:pPr>
            <w:r w:rsidRPr="00600138">
              <w:rPr>
                <w:sz w:val="17"/>
                <w:szCs w:val="17"/>
              </w:rPr>
              <w:t>Uley Wanilla Public Water Supply</w:t>
            </w:r>
          </w:p>
        </w:tc>
        <w:tc>
          <w:tcPr>
            <w:tcW w:w="1276" w:type="dxa"/>
            <w:vAlign w:val="bottom"/>
          </w:tcPr>
          <w:p w14:paraId="2F13B2DB" w14:textId="77777777" w:rsidR="00600138" w:rsidRPr="00600138" w:rsidRDefault="00600138" w:rsidP="00600138">
            <w:pPr>
              <w:spacing w:after="40"/>
              <w:jc w:val="center"/>
              <w:rPr>
                <w:sz w:val="17"/>
                <w:szCs w:val="17"/>
              </w:rPr>
            </w:pPr>
            <w:r w:rsidRPr="00600138">
              <w:rPr>
                <w:sz w:val="17"/>
                <w:szCs w:val="17"/>
              </w:rPr>
              <w:t>77.60</w:t>
            </w:r>
          </w:p>
        </w:tc>
        <w:tc>
          <w:tcPr>
            <w:tcW w:w="1417" w:type="dxa"/>
            <w:vAlign w:val="bottom"/>
          </w:tcPr>
          <w:p w14:paraId="21C135DB" w14:textId="77777777" w:rsidR="00600138" w:rsidRPr="00600138" w:rsidRDefault="00600138" w:rsidP="00600138">
            <w:pPr>
              <w:spacing w:after="40"/>
              <w:ind w:right="570"/>
              <w:jc w:val="right"/>
              <w:rPr>
                <w:sz w:val="17"/>
                <w:szCs w:val="17"/>
              </w:rPr>
            </w:pPr>
            <w:r w:rsidRPr="00600138">
              <w:rPr>
                <w:sz w:val="17"/>
                <w:szCs w:val="17"/>
              </w:rPr>
              <w:t>21.7</w:t>
            </w:r>
          </w:p>
        </w:tc>
        <w:tc>
          <w:tcPr>
            <w:tcW w:w="1276" w:type="dxa"/>
            <w:vAlign w:val="bottom"/>
          </w:tcPr>
          <w:p w14:paraId="0C3BD22D" w14:textId="77777777" w:rsidR="00600138" w:rsidRPr="00600138" w:rsidRDefault="00600138" w:rsidP="00600138">
            <w:pPr>
              <w:spacing w:after="40"/>
              <w:ind w:right="143"/>
              <w:jc w:val="right"/>
              <w:rPr>
                <w:sz w:val="17"/>
                <w:szCs w:val="17"/>
              </w:rPr>
            </w:pPr>
            <w:r w:rsidRPr="00600138">
              <w:rPr>
                <w:sz w:val="17"/>
                <w:szCs w:val="17"/>
              </w:rPr>
              <w:t>0.216564833</w:t>
            </w:r>
          </w:p>
        </w:tc>
        <w:tc>
          <w:tcPr>
            <w:tcW w:w="1270" w:type="dxa"/>
            <w:vAlign w:val="bottom"/>
          </w:tcPr>
          <w:p w14:paraId="6DFAC3FD" w14:textId="77777777" w:rsidR="00600138" w:rsidRPr="00600138" w:rsidRDefault="00600138" w:rsidP="00600138">
            <w:pPr>
              <w:spacing w:after="40"/>
              <w:ind w:right="275"/>
              <w:jc w:val="right"/>
              <w:rPr>
                <w:sz w:val="17"/>
                <w:szCs w:val="17"/>
              </w:rPr>
            </w:pPr>
            <w:r w:rsidRPr="00600138">
              <w:rPr>
                <w:sz w:val="17"/>
                <w:szCs w:val="17"/>
              </w:rPr>
              <w:t>56,400</w:t>
            </w:r>
          </w:p>
        </w:tc>
      </w:tr>
      <w:tr w:rsidR="00600138" w:rsidRPr="00600138" w14:paraId="4FB6B27D" w14:textId="77777777" w:rsidTr="008D3E3A">
        <w:tc>
          <w:tcPr>
            <w:tcW w:w="1558" w:type="dxa"/>
            <w:vMerge/>
          </w:tcPr>
          <w:p w14:paraId="01C4E2B4" w14:textId="77777777" w:rsidR="00600138" w:rsidRPr="00600138" w:rsidRDefault="00600138" w:rsidP="00600138">
            <w:pPr>
              <w:rPr>
                <w:sz w:val="17"/>
                <w:szCs w:val="17"/>
              </w:rPr>
            </w:pPr>
          </w:p>
        </w:tc>
        <w:tc>
          <w:tcPr>
            <w:tcW w:w="2553" w:type="dxa"/>
          </w:tcPr>
          <w:p w14:paraId="7939C4B1" w14:textId="77777777" w:rsidR="00600138" w:rsidRPr="00600138" w:rsidRDefault="00600138" w:rsidP="00600138">
            <w:pPr>
              <w:spacing w:after="40"/>
              <w:rPr>
                <w:sz w:val="17"/>
                <w:szCs w:val="17"/>
              </w:rPr>
            </w:pPr>
            <w:r w:rsidRPr="00600138">
              <w:rPr>
                <w:sz w:val="17"/>
                <w:szCs w:val="17"/>
              </w:rPr>
              <w:t>Uley North</w:t>
            </w:r>
          </w:p>
        </w:tc>
        <w:tc>
          <w:tcPr>
            <w:tcW w:w="1276" w:type="dxa"/>
            <w:vAlign w:val="bottom"/>
          </w:tcPr>
          <w:p w14:paraId="383BA813" w14:textId="77777777" w:rsidR="00600138" w:rsidRPr="00600138" w:rsidRDefault="00600138" w:rsidP="00600138">
            <w:pPr>
              <w:spacing w:after="40"/>
              <w:jc w:val="center"/>
              <w:rPr>
                <w:sz w:val="17"/>
                <w:szCs w:val="17"/>
              </w:rPr>
            </w:pPr>
            <w:r w:rsidRPr="00600138">
              <w:rPr>
                <w:sz w:val="17"/>
                <w:szCs w:val="17"/>
              </w:rPr>
              <w:t>78.70</w:t>
            </w:r>
          </w:p>
        </w:tc>
        <w:tc>
          <w:tcPr>
            <w:tcW w:w="1417" w:type="dxa"/>
            <w:vAlign w:val="bottom"/>
          </w:tcPr>
          <w:p w14:paraId="63ABAF5A" w14:textId="77777777" w:rsidR="00600138" w:rsidRPr="00600138" w:rsidRDefault="00600138" w:rsidP="00600138">
            <w:pPr>
              <w:spacing w:after="40"/>
              <w:ind w:right="570"/>
              <w:jc w:val="right"/>
              <w:rPr>
                <w:sz w:val="17"/>
                <w:szCs w:val="17"/>
              </w:rPr>
            </w:pPr>
            <w:r w:rsidRPr="00600138">
              <w:rPr>
                <w:sz w:val="17"/>
                <w:szCs w:val="17"/>
              </w:rPr>
              <w:t>0.0</w:t>
            </w:r>
          </w:p>
        </w:tc>
        <w:tc>
          <w:tcPr>
            <w:tcW w:w="1276" w:type="dxa"/>
            <w:vAlign w:val="bottom"/>
          </w:tcPr>
          <w:p w14:paraId="4C72F05A" w14:textId="77777777" w:rsidR="00600138" w:rsidRPr="00600138" w:rsidRDefault="00600138" w:rsidP="00600138">
            <w:pPr>
              <w:spacing w:after="40"/>
              <w:ind w:right="143"/>
              <w:jc w:val="right"/>
              <w:rPr>
                <w:sz w:val="17"/>
                <w:szCs w:val="17"/>
              </w:rPr>
            </w:pPr>
            <w:r w:rsidRPr="00600138">
              <w:rPr>
                <w:sz w:val="17"/>
                <w:szCs w:val="17"/>
              </w:rPr>
              <w:t>0.000</w:t>
            </w:r>
          </w:p>
        </w:tc>
        <w:tc>
          <w:tcPr>
            <w:tcW w:w="1270" w:type="dxa"/>
            <w:vAlign w:val="bottom"/>
          </w:tcPr>
          <w:p w14:paraId="707B92AC" w14:textId="77777777" w:rsidR="00600138" w:rsidRPr="00600138" w:rsidRDefault="00600138" w:rsidP="00600138">
            <w:pPr>
              <w:spacing w:after="40"/>
              <w:ind w:right="275"/>
              <w:jc w:val="right"/>
              <w:rPr>
                <w:sz w:val="17"/>
                <w:szCs w:val="17"/>
              </w:rPr>
            </w:pPr>
            <w:r w:rsidRPr="00600138">
              <w:rPr>
                <w:sz w:val="17"/>
                <w:szCs w:val="17"/>
              </w:rPr>
              <w:t>27,860</w:t>
            </w:r>
          </w:p>
        </w:tc>
      </w:tr>
      <w:tr w:rsidR="00600138" w:rsidRPr="00600138" w14:paraId="2FF4B41D" w14:textId="77777777" w:rsidTr="008D3E3A">
        <w:tc>
          <w:tcPr>
            <w:tcW w:w="1558" w:type="dxa"/>
            <w:vMerge/>
          </w:tcPr>
          <w:p w14:paraId="2EEA55BB" w14:textId="77777777" w:rsidR="00600138" w:rsidRPr="00600138" w:rsidRDefault="00600138" w:rsidP="00600138">
            <w:pPr>
              <w:rPr>
                <w:sz w:val="17"/>
                <w:szCs w:val="17"/>
              </w:rPr>
            </w:pPr>
          </w:p>
        </w:tc>
        <w:tc>
          <w:tcPr>
            <w:tcW w:w="2553" w:type="dxa"/>
          </w:tcPr>
          <w:p w14:paraId="6EE7A51F" w14:textId="77777777" w:rsidR="00600138" w:rsidRPr="00600138" w:rsidRDefault="00600138" w:rsidP="00600138">
            <w:pPr>
              <w:spacing w:after="40"/>
              <w:rPr>
                <w:sz w:val="17"/>
                <w:szCs w:val="17"/>
              </w:rPr>
            </w:pPr>
            <w:r w:rsidRPr="00600138">
              <w:rPr>
                <w:sz w:val="17"/>
                <w:szCs w:val="17"/>
              </w:rPr>
              <w:t>Uley South Public Water Supply</w:t>
            </w:r>
          </w:p>
        </w:tc>
        <w:tc>
          <w:tcPr>
            <w:tcW w:w="1276" w:type="dxa"/>
            <w:vAlign w:val="bottom"/>
          </w:tcPr>
          <w:p w14:paraId="47B68D53" w14:textId="77777777" w:rsidR="00600138" w:rsidRPr="00600138" w:rsidRDefault="00600138" w:rsidP="00600138">
            <w:pPr>
              <w:spacing w:after="40"/>
              <w:jc w:val="center"/>
              <w:rPr>
                <w:sz w:val="17"/>
                <w:szCs w:val="17"/>
              </w:rPr>
            </w:pPr>
            <w:r w:rsidRPr="00600138">
              <w:rPr>
                <w:sz w:val="17"/>
                <w:szCs w:val="17"/>
              </w:rPr>
              <w:t>88.90</w:t>
            </w:r>
          </w:p>
        </w:tc>
        <w:tc>
          <w:tcPr>
            <w:tcW w:w="1417" w:type="dxa"/>
            <w:vAlign w:val="bottom"/>
          </w:tcPr>
          <w:p w14:paraId="415874C1" w14:textId="77777777" w:rsidR="00600138" w:rsidRPr="00600138" w:rsidRDefault="00600138" w:rsidP="00600138">
            <w:pPr>
              <w:spacing w:after="40"/>
              <w:ind w:right="570"/>
              <w:jc w:val="right"/>
              <w:rPr>
                <w:sz w:val="17"/>
                <w:szCs w:val="17"/>
              </w:rPr>
            </w:pPr>
            <w:r w:rsidRPr="00600138">
              <w:rPr>
                <w:sz w:val="17"/>
                <w:szCs w:val="17"/>
              </w:rPr>
              <w:t>89.5</w:t>
            </w:r>
          </w:p>
        </w:tc>
        <w:tc>
          <w:tcPr>
            <w:tcW w:w="1276" w:type="dxa"/>
            <w:vAlign w:val="bottom"/>
          </w:tcPr>
          <w:p w14:paraId="7983F484" w14:textId="77777777" w:rsidR="00600138" w:rsidRPr="00600138" w:rsidRDefault="00600138" w:rsidP="00600138">
            <w:pPr>
              <w:spacing w:after="40"/>
              <w:ind w:right="143"/>
              <w:jc w:val="right"/>
              <w:rPr>
                <w:sz w:val="17"/>
                <w:szCs w:val="17"/>
              </w:rPr>
            </w:pPr>
            <w:r w:rsidRPr="00600138">
              <w:rPr>
                <w:sz w:val="17"/>
                <w:szCs w:val="17"/>
              </w:rPr>
              <w:t>0.894562341</w:t>
            </w:r>
          </w:p>
        </w:tc>
        <w:tc>
          <w:tcPr>
            <w:tcW w:w="1270" w:type="dxa"/>
            <w:vAlign w:val="bottom"/>
          </w:tcPr>
          <w:p w14:paraId="56485514" w14:textId="77777777" w:rsidR="00600138" w:rsidRPr="00600138" w:rsidRDefault="00600138" w:rsidP="00600138">
            <w:pPr>
              <w:spacing w:after="40"/>
              <w:ind w:right="275"/>
              <w:jc w:val="right"/>
              <w:rPr>
                <w:sz w:val="17"/>
                <w:szCs w:val="17"/>
              </w:rPr>
            </w:pPr>
            <w:r w:rsidRPr="00600138">
              <w:rPr>
                <w:sz w:val="17"/>
                <w:szCs w:val="17"/>
              </w:rPr>
              <w:t>6,508,140</w:t>
            </w:r>
          </w:p>
        </w:tc>
      </w:tr>
      <w:tr w:rsidR="00600138" w:rsidRPr="00600138" w14:paraId="3A0BBCC6" w14:textId="77777777" w:rsidTr="008D3E3A">
        <w:tc>
          <w:tcPr>
            <w:tcW w:w="1558" w:type="dxa"/>
            <w:vMerge/>
          </w:tcPr>
          <w:p w14:paraId="59AE79D3" w14:textId="77777777" w:rsidR="00600138" w:rsidRPr="00600138" w:rsidRDefault="00600138" w:rsidP="00600138">
            <w:pPr>
              <w:rPr>
                <w:sz w:val="17"/>
                <w:szCs w:val="17"/>
              </w:rPr>
            </w:pPr>
          </w:p>
        </w:tc>
        <w:tc>
          <w:tcPr>
            <w:tcW w:w="2553" w:type="dxa"/>
          </w:tcPr>
          <w:p w14:paraId="158483D3" w14:textId="77777777" w:rsidR="00600138" w:rsidRPr="00600138" w:rsidRDefault="00600138" w:rsidP="00600138">
            <w:pPr>
              <w:spacing w:after="40"/>
              <w:rPr>
                <w:sz w:val="17"/>
                <w:szCs w:val="17"/>
              </w:rPr>
            </w:pPr>
            <w:r w:rsidRPr="00600138">
              <w:rPr>
                <w:sz w:val="17"/>
                <w:szCs w:val="17"/>
              </w:rPr>
              <w:t>Lincoln South Public Water Supply</w:t>
            </w:r>
          </w:p>
        </w:tc>
        <w:tc>
          <w:tcPr>
            <w:tcW w:w="1276" w:type="dxa"/>
            <w:vAlign w:val="bottom"/>
          </w:tcPr>
          <w:p w14:paraId="17C1E5E9" w14:textId="77777777" w:rsidR="00600138" w:rsidRPr="00600138" w:rsidRDefault="00600138" w:rsidP="00600138">
            <w:pPr>
              <w:spacing w:after="40"/>
              <w:jc w:val="center"/>
              <w:rPr>
                <w:sz w:val="17"/>
                <w:szCs w:val="17"/>
              </w:rPr>
            </w:pPr>
            <w:r w:rsidRPr="00600138">
              <w:rPr>
                <w:sz w:val="17"/>
                <w:szCs w:val="17"/>
              </w:rPr>
              <w:t>93.80</w:t>
            </w:r>
          </w:p>
        </w:tc>
        <w:tc>
          <w:tcPr>
            <w:tcW w:w="1417" w:type="dxa"/>
            <w:vAlign w:val="bottom"/>
          </w:tcPr>
          <w:p w14:paraId="049DCE3A" w14:textId="77777777" w:rsidR="00600138" w:rsidRPr="00600138" w:rsidRDefault="00600138" w:rsidP="00600138">
            <w:pPr>
              <w:spacing w:after="40"/>
              <w:ind w:right="570"/>
              <w:jc w:val="right"/>
              <w:rPr>
                <w:sz w:val="17"/>
                <w:szCs w:val="17"/>
              </w:rPr>
            </w:pPr>
            <w:r w:rsidRPr="00600138">
              <w:rPr>
                <w:sz w:val="17"/>
                <w:szCs w:val="17"/>
              </w:rPr>
              <w:t>32.3</w:t>
            </w:r>
          </w:p>
        </w:tc>
        <w:tc>
          <w:tcPr>
            <w:tcW w:w="1276" w:type="dxa"/>
            <w:vAlign w:val="bottom"/>
          </w:tcPr>
          <w:p w14:paraId="34FD2B7D" w14:textId="77777777" w:rsidR="00600138" w:rsidRPr="00600138" w:rsidRDefault="00600138" w:rsidP="00600138">
            <w:pPr>
              <w:spacing w:after="40"/>
              <w:ind w:right="143"/>
              <w:jc w:val="right"/>
              <w:rPr>
                <w:sz w:val="17"/>
                <w:szCs w:val="17"/>
              </w:rPr>
            </w:pPr>
            <w:r w:rsidRPr="00600138">
              <w:rPr>
                <w:sz w:val="17"/>
                <w:szCs w:val="17"/>
              </w:rPr>
              <w:t>0.32307660</w:t>
            </w:r>
          </w:p>
        </w:tc>
        <w:tc>
          <w:tcPr>
            <w:tcW w:w="1270" w:type="dxa"/>
            <w:vAlign w:val="bottom"/>
          </w:tcPr>
          <w:p w14:paraId="6F7A1886" w14:textId="77777777" w:rsidR="00600138" w:rsidRPr="00600138" w:rsidRDefault="00600138" w:rsidP="00600138">
            <w:pPr>
              <w:spacing w:after="40"/>
              <w:ind w:right="275"/>
              <w:jc w:val="right"/>
              <w:rPr>
                <w:sz w:val="17"/>
                <w:szCs w:val="17"/>
              </w:rPr>
            </w:pPr>
            <w:r w:rsidRPr="00600138">
              <w:rPr>
                <w:sz w:val="17"/>
                <w:szCs w:val="17"/>
              </w:rPr>
              <w:t>597,712</w:t>
            </w:r>
          </w:p>
        </w:tc>
      </w:tr>
      <w:tr w:rsidR="00600138" w:rsidRPr="00600138" w14:paraId="673C0E29" w14:textId="77777777" w:rsidTr="008D3E3A">
        <w:tc>
          <w:tcPr>
            <w:tcW w:w="1558" w:type="dxa"/>
            <w:vMerge/>
          </w:tcPr>
          <w:p w14:paraId="6F55C793" w14:textId="77777777" w:rsidR="00600138" w:rsidRPr="00600138" w:rsidRDefault="00600138" w:rsidP="00600138">
            <w:pPr>
              <w:rPr>
                <w:sz w:val="17"/>
                <w:szCs w:val="17"/>
              </w:rPr>
            </w:pPr>
          </w:p>
        </w:tc>
        <w:tc>
          <w:tcPr>
            <w:tcW w:w="2553" w:type="dxa"/>
          </w:tcPr>
          <w:p w14:paraId="48D655D4" w14:textId="77777777" w:rsidR="00600138" w:rsidRPr="00600138" w:rsidRDefault="00600138" w:rsidP="00600138">
            <w:pPr>
              <w:spacing w:after="40"/>
              <w:rPr>
                <w:sz w:val="17"/>
                <w:szCs w:val="17"/>
              </w:rPr>
            </w:pPr>
            <w:r w:rsidRPr="00600138">
              <w:rPr>
                <w:sz w:val="17"/>
                <w:szCs w:val="17"/>
              </w:rPr>
              <w:t>Lincoln North</w:t>
            </w:r>
          </w:p>
        </w:tc>
        <w:tc>
          <w:tcPr>
            <w:tcW w:w="1276" w:type="dxa"/>
          </w:tcPr>
          <w:p w14:paraId="61A77091" w14:textId="77777777" w:rsidR="00600138" w:rsidRPr="00600138" w:rsidRDefault="00600138" w:rsidP="00600138">
            <w:pPr>
              <w:spacing w:after="40"/>
              <w:jc w:val="center"/>
              <w:rPr>
                <w:sz w:val="17"/>
                <w:szCs w:val="17"/>
              </w:rPr>
            </w:pPr>
          </w:p>
        </w:tc>
        <w:tc>
          <w:tcPr>
            <w:tcW w:w="1417" w:type="dxa"/>
          </w:tcPr>
          <w:p w14:paraId="6F96609C" w14:textId="77777777" w:rsidR="00600138" w:rsidRPr="00600138" w:rsidRDefault="00600138" w:rsidP="00600138">
            <w:pPr>
              <w:spacing w:after="40"/>
              <w:ind w:right="570"/>
              <w:jc w:val="right"/>
              <w:rPr>
                <w:sz w:val="17"/>
                <w:szCs w:val="17"/>
              </w:rPr>
            </w:pPr>
          </w:p>
        </w:tc>
        <w:tc>
          <w:tcPr>
            <w:tcW w:w="1276" w:type="dxa"/>
          </w:tcPr>
          <w:p w14:paraId="77053D20" w14:textId="77777777" w:rsidR="00600138" w:rsidRPr="00600138" w:rsidRDefault="00600138" w:rsidP="00600138">
            <w:pPr>
              <w:spacing w:after="40"/>
              <w:ind w:right="143"/>
              <w:jc w:val="right"/>
              <w:rPr>
                <w:sz w:val="17"/>
                <w:szCs w:val="17"/>
              </w:rPr>
            </w:pPr>
          </w:p>
        </w:tc>
        <w:tc>
          <w:tcPr>
            <w:tcW w:w="1270" w:type="dxa"/>
          </w:tcPr>
          <w:p w14:paraId="1F06E997" w14:textId="77777777" w:rsidR="00600138" w:rsidRPr="00600138" w:rsidRDefault="00600138" w:rsidP="00600138">
            <w:pPr>
              <w:spacing w:after="40"/>
              <w:ind w:right="275"/>
              <w:jc w:val="right"/>
              <w:rPr>
                <w:sz w:val="17"/>
                <w:szCs w:val="17"/>
              </w:rPr>
            </w:pPr>
            <w:r w:rsidRPr="00600138">
              <w:rPr>
                <w:sz w:val="17"/>
                <w:szCs w:val="17"/>
              </w:rPr>
              <w:t>173,190</w:t>
            </w:r>
          </w:p>
        </w:tc>
      </w:tr>
      <w:tr w:rsidR="00600138" w:rsidRPr="00600138" w14:paraId="1E52A501" w14:textId="77777777" w:rsidTr="008D3E3A">
        <w:tc>
          <w:tcPr>
            <w:tcW w:w="1558" w:type="dxa"/>
            <w:vMerge/>
          </w:tcPr>
          <w:p w14:paraId="05F81F9A" w14:textId="77777777" w:rsidR="00600138" w:rsidRPr="00600138" w:rsidRDefault="00600138" w:rsidP="00600138">
            <w:pPr>
              <w:rPr>
                <w:sz w:val="17"/>
                <w:szCs w:val="17"/>
              </w:rPr>
            </w:pPr>
          </w:p>
        </w:tc>
        <w:tc>
          <w:tcPr>
            <w:tcW w:w="2553" w:type="dxa"/>
          </w:tcPr>
          <w:p w14:paraId="1AE10F38" w14:textId="77777777" w:rsidR="00600138" w:rsidRPr="00600138" w:rsidRDefault="00600138" w:rsidP="00600138">
            <w:pPr>
              <w:spacing w:after="40"/>
              <w:rPr>
                <w:sz w:val="17"/>
                <w:szCs w:val="17"/>
              </w:rPr>
            </w:pPr>
            <w:r w:rsidRPr="00600138">
              <w:rPr>
                <w:sz w:val="17"/>
                <w:szCs w:val="17"/>
              </w:rPr>
              <w:t>Port Lincoln Golf Club</w:t>
            </w:r>
          </w:p>
        </w:tc>
        <w:tc>
          <w:tcPr>
            <w:tcW w:w="1276" w:type="dxa"/>
          </w:tcPr>
          <w:p w14:paraId="47119AA1" w14:textId="77777777" w:rsidR="00600138" w:rsidRPr="00600138" w:rsidRDefault="00600138" w:rsidP="00600138">
            <w:pPr>
              <w:spacing w:after="40"/>
              <w:jc w:val="center"/>
              <w:rPr>
                <w:sz w:val="17"/>
                <w:szCs w:val="17"/>
              </w:rPr>
            </w:pPr>
          </w:p>
        </w:tc>
        <w:tc>
          <w:tcPr>
            <w:tcW w:w="1417" w:type="dxa"/>
          </w:tcPr>
          <w:p w14:paraId="0965F0AD" w14:textId="77777777" w:rsidR="00600138" w:rsidRPr="00600138" w:rsidRDefault="00600138" w:rsidP="00600138">
            <w:pPr>
              <w:spacing w:after="40"/>
              <w:ind w:right="570"/>
              <w:jc w:val="right"/>
              <w:rPr>
                <w:sz w:val="17"/>
                <w:szCs w:val="17"/>
              </w:rPr>
            </w:pPr>
          </w:p>
        </w:tc>
        <w:tc>
          <w:tcPr>
            <w:tcW w:w="1276" w:type="dxa"/>
          </w:tcPr>
          <w:p w14:paraId="26CEDCB0" w14:textId="77777777" w:rsidR="00600138" w:rsidRPr="00600138" w:rsidRDefault="00600138" w:rsidP="00600138">
            <w:pPr>
              <w:spacing w:after="40"/>
              <w:ind w:right="143"/>
              <w:jc w:val="right"/>
              <w:rPr>
                <w:sz w:val="17"/>
                <w:szCs w:val="17"/>
              </w:rPr>
            </w:pPr>
          </w:p>
        </w:tc>
        <w:tc>
          <w:tcPr>
            <w:tcW w:w="1270" w:type="dxa"/>
          </w:tcPr>
          <w:p w14:paraId="68F51C7C" w14:textId="77777777" w:rsidR="00600138" w:rsidRPr="00600138" w:rsidRDefault="00600138" w:rsidP="00600138">
            <w:pPr>
              <w:spacing w:after="40"/>
              <w:ind w:right="275"/>
              <w:jc w:val="right"/>
              <w:rPr>
                <w:sz w:val="17"/>
                <w:szCs w:val="17"/>
              </w:rPr>
            </w:pPr>
            <w:r w:rsidRPr="00600138">
              <w:rPr>
                <w:sz w:val="17"/>
                <w:szCs w:val="17"/>
              </w:rPr>
              <w:t>7,000</w:t>
            </w:r>
          </w:p>
        </w:tc>
      </w:tr>
      <w:tr w:rsidR="00600138" w:rsidRPr="00600138" w14:paraId="38005BCC" w14:textId="77777777" w:rsidTr="008D3E3A">
        <w:tc>
          <w:tcPr>
            <w:tcW w:w="1558" w:type="dxa"/>
            <w:vMerge/>
          </w:tcPr>
          <w:p w14:paraId="6390D6AD" w14:textId="77777777" w:rsidR="00600138" w:rsidRPr="00600138" w:rsidRDefault="00600138" w:rsidP="00600138">
            <w:pPr>
              <w:rPr>
                <w:sz w:val="17"/>
                <w:szCs w:val="17"/>
              </w:rPr>
            </w:pPr>
          </w:p>
        </w:tc>
        <w:tc>
          <w:tcPr>
            <w:tcW w:w="2553" w:type="dxa"/>
          </w:tcPr>
          <w:p w14:paraId="46889758" w14:textId="77777777" w:rsidR="00600138" w:rsidRPr="00600138" w:rsidRDefault="00600138" w:rsidP="00600138">
            <w:pPr>
              <w:spacing w:after="40"/>
              <w:rPr>
                <w:sz w:val="17"/>
                <w:szCs w:val="17"/>
              </w:rPr>
            </w:pPr>
            <w:r w:rsidRPr="00600138">
              <w:rPr>
                <w:sz w:val="17"/>
                <w:szCs w:val="17"/>
              </w:rPr>
              <w:t>Southern Basins Unsaturated</w:t>
            </w:r>
          </w:p>
        </w:tc>
        <w:tc>
          <w:tcPr>
            <w:tcW w:w="1276" w:type="dxa"/>
          </w:tcPr>
          <w:p w14:paraId="0122E569" w14:textId="77777777" w:rsidR="00600138" w:rsidRPr="00600138" w:rsidRDefault="00600138" w:rsidP="00600138">
            <w:pPr>
              <w:spacing w:after="40"/>
              <w:jc w:val="center"/>
              <w:rPr>
                <w:sz w:val="17"/>
                <w:szCs w:val="17"/>
              </w:rPr>
            </w:pPr>
          </w:p>
        </w:tc>
        <w:tc>
          <w:tcPr>
            <w:tcW w:w="1417" w:type="dxa"/>
          </w:tcPr>
          <w:p w14:paraId="32C7A9D6" w14:textId="77777777" w:rsidR="00600138" w:rsidRPr="00600138" w:rsidRDefault="00600138" w:rsidP="00600138">
            <w:pPr>
              <w:spacing w:after="40"/>
              <w:ind w:right="570"/>
              <w:jc w:val="right"/>
              <w:rPr>
                <w:sz w:val="17"/>
                <w:szCs w:val="17"/>
              </w:rPr>
            </w:pPr>
          </w:p>
        </w:tc>
        <w:tc>
          <w:tcPr>
            <w:tcW w:w="1276" w:type="dxa"/>
          </w:tcPr>
          <w:p w14:paraId="30CB5587" w14:textId="77777777" w:rsidR="00600138" w:rsidRPr="00600138" w:rsidRDefault="00600138" w:rsidP="00600138">
            <w:pPr>
              <w:spacing w:after="40"/>
              <w:ind w:right="143"/>
              <w:jc w:val="right"/>
              <w:rPr>
                <w:sz w:val="17"/>
                <w:szCs w:val="17"/>
              </w:rPr>
            </w:pPr>
          </w:p>
        </w:tc>
        <w:tc>
          <w:tcPr>
            <w:tcW w:w="1270" w:type="dxa"/>
          </w:tcPr>
          <w:p w14:paraId="039CF8C5" w14:textId="77777777" w:rsidR="00600138" w:rsidRPr="00600138" w:rsidRDefault="00600138" w:rsidP="00600138">
            <w:pPr>
              <w:spacing w:after="40"/>
              <w:ind w:right="275"/>
              <w:jc w:val="right"/>
              <w:rPr>
                <w:sz w:val="17"/>
                <w:szCs w:val="17"/>
              </w:rPr>
            </w:pPr>
            <w:r w:rsidRPr="00600138">
              <w:rPr>
                <w:sz w:val="17"/>
                <w:szCs w:val="17"/>
              </w:rPr>
              <w:t>6,960</w:t>
            </w:r>
          </w:p>
        </w:tc>
      </w:tr>
      <w:tr w:rsidR="00600138" w:rsidRPr="00600138" w14:paraId="3CD19C72" w14:textId="77777777" w:rsidTr="008D3E3A">
        <w:tc>
          <w:tcPr>
            <w:tcW w:w="1558" w:type="dxa"/>
            <w:vMerge/>
          </w:tcPr>
          <w:p w14:paraId="00CE621D" w14:textId="77777777" w:rsidR="00600138" w:rsidRPr="00600138" w:rsidRDefault="00600138" w:rsidP="00600138">
            <w:pPr>
              <w:rPr>
                <w:sz w:val="17"/>
                <w:szCs w:val="17"/>
              </w:rPr>
            </w:pPr>
          </w:p>
        </w:tc>
        <w:tc>
          <w:tcPr>
            <w:tcW w:w="2553" w:type="dxa"/>
          </w:tcPr>
          <w:p w14:paraId="0896A8C9" w14:textId="77777777" w:rsidR="00600138" w:rsidRPr="00600138" w:rsidRDefault="00600138" w:rsidP="00600138">
            <w:pPr>
              <w:spacing w:after="40"/>
              <w:rPr>
                <w:sz w:val="17"/>
                <w:szCs w:val="17"/>
              </w:rPr>
            </w:pPr>
            <w:r w:rsidRPr="00600138">
              <w:rPr>
                <w:sz w:val="17"/>
                <w:szCs w:val="17"/>
              </w:rPr>
              <w:t>Tertiary</w:t>
            </w:r>
          </w:p>
        </w:tc>
        <w:tc>
          <w:tcPr>
            <w:tcW w:w="1276" w:type="dxa"/>
          </w:tcPr>
          <w:p w14:paraId="16D5EDFB" w14:textId="77777777" w:rsidR="00600138" w:rsidRPr="00600138" w:rsidRDefault="00600138" w:rsidP="00600138">
            <w:pPr>
              <w:spacing w:after="40"/>
              <w:jc w:val="center"/>
              <w:rPr>
                <w:sz w:val="17"/>
                <w:szCs w:val="17"/>
              </w:rPr>
            </w:pPr>
          </w:p>
        </w:tc>
        <w:tc>
          <w:tcPr>
            <w:tcW w:w="1417" w:type="dxa"/>
          </w:tcPr>
          <w:p w14:paraId="281775B0" w14:textId="77777777" w:rsidR="00600138" w:rsidRPr="00600138" w:rsidRDefault="00600138" w:rsidP="00600138">
            <w:pPr>
              <w:spacing w:after="40"/>
              <w:ind w:right="570"/>
              <w:jc w:val="right"/>
              <w:rPr>
                <w:sz w:val="17"/>
                <w:szCs w:val="17"/>
              </w:rPr>
            </w:pPr>
          </w:p>
        </w:tc>
        <w:tc>
          <w:tcPr>
            <w:tcW w:w="1276" w:type="dxa"/>
          </w:tcPr>
          <w:p w14:paraId="270AA550" w14:textId="77777777" w:rsidR="00600138" w:rsidRPr="00600138" w:rsidRDefault="00600138" w:rsidP="00600138">
            <w:pPr>
              <w:spacing w:after="40"/>
              <w:ind w:right="143"/>
              <w:jc w:val="right"/>
              <w:rPr>
                <w:sz w:val="17"/>
                <w:szCs w:val="17"/>
              </w:rPr>
            </w:pPr>
          </w:p>
        </w:tc>
        <w:tc>
          <w:tcPr>
            <w:tcW w:w="1270" w:type="dxa"/>
          </w:tcPr>
          <w:p w14:paraId="5E74AB04" w14:textId="77777777" w:rsidR="00600138" w:rsidRPr="00600138" w:rsidRDefault="00600138" w:rsidP="00600138">
            <w:pPr>
              <w:spacing w:after="40"/>
              <w:ind w:right="275"/>
              <w:jc w:val="right"/>
              <w:rPr>
                <w:sz w:val="17"/>
                <w:szCs w:val="17"/>
              </w:rPr>
            </w:pPr>
            <w:r w:rsidRPr="00600138">
              <w:rPr>
                <w:sz w:val="17"/>
                <w:szCs w:val="17"/>
              </w:rPr>
              <w:t>29,140</w:t>
            </w:r>
          </w:p>
        </w:tc>
      </w:tr>
      <w:tr w:rsidR="00600138" w:rsidRPr="00600138" w14:paraId="641CB9B7" w14:textId="77777777" w:rsidTr="008D3E3A">
        <w:tc>
          <w:tcPr>
            <w:tcW w:w="1558" w:type="dxa"/>
            <w:vMerge/>
            <w:tcBorders>
              <w:bottom w:val="single" w:sz="4" w:space="0" w:color="auto"/>
            </w:tcBorders>
          </w:tcPr>
          <w:p w14:paraId="506B976E" w14:textId="77777777" w:rsidR="00600138" w:rsidRPr="00600138" w:rsidRDefault="00600138" w:rsidP="00600138">
            <w:pPr>
              <w:rPr>
                <w:sz w:val="17"/>
                <w:szCs w:val="17"/>
              </w:rPr>
            </w:pPr>
          </w:p>
        </w:tc>
        <w:tc>
          <w:tcPr>
            <w:tcW w:w="2553" w:type="dxa"/>
            <w:tcBorders>
              <w:bottom w:val="single" w:sz="4" w:space="0" w:color="auto"/>
            </w:tcBorders>
          </w:tcPr>
          <w:p w14:paraId="4A9D44E1" w14:textId="77777777" w:rsidR="00600138" w:rsidRPr="00600138" w:rsidRDefault="00600138" w:rsidP="00600138">
            <w:pPr>
              <w:rPr>
                <w:sz w:val="17"/>
                <w:szCs w:val="17"/>
              </w:rPr>
            </w:pPr>
            <w:r w:rsidRPr="00600138">
              <w:rPr>
                <w:sz w:val="17"/>
                <w:szCs w:val="17"/>
              </w:rPr>
              <w:t>Basement</w:t>
            </w:r>
          </w:p>
        </w:tc>
        <w:tc>
          <w:tcPr>
            <w:tcW w:w="1276" w:type="dxa"/>
            <w:tcBorders>
              <w:bottom w:val="single" w:sz="4" w:space="0" w:color="auto"/>
            </w:tcBorders>
          </w:tcPr>
          <w:p w14:paraId="0E68577D" w14:textId="77777777" w:rsidR="00600138" w:rsidRPr="00600138" w:rsidRDefault="00600138" w:rsidP="00600138">
            <w:pPr>
              <w:jc w:val="center"/>
              <w:rPr>
                <w:sz w:val="17"/>
                <w:szCs w:val="17"/>
              </w:rPr>
            </w:pPr>
          </w:p>
        </w:tc>
        <w:tc>
          <w:tcPr>
            <w:tcW w:w="1417" w:type="dxa"/>
            <w:tcBorders>
              <w:bottom w:val="single" w:sz="4" w:space="0" w:color="auto"/>
            </w:tcBorders>
          </w:tcPr>
          <w:p w14:paraId="53F11187" w14:textId="77777777" w:rsidR="00600138" w:rsidRPr="00600138" w:rsidRDefault="00600138" w:rsidP="00600138">
            <w:pPr>
              <w:ind w:right="570"/>
              <w:jc w:val="right"/>
              <w:rPr>
                <w:sz w:val="17"/>
                <w:szCs w:val="17"/>
              </w:rPr>
            </w:pPr>
          </w:p>
        </w:tc>
        <w:tc>
          <w:tcPr>
            <w:tcW w:w="1276" w:type="dxa"/>
            <w:tcBorders>
              <w:bottom w:val="single" w:sz="4" w:space="0" w:color="auto"/>
            </w:tcBorders>
          </w:tcPr>
          <w:p w14:paraId="623A4DF2" w14:textId="77777777" w:rsidR="00600138" w:rsidRPr="00600138" w:rsidRDefault="00600138" w:rsidP="00600138">
            <w:pPr>
              <w:ind w:right="143"/>
              <w:jc w:val="right"/>
              <w:rPr>
                <w:sz w:val="17"/>
                <w:szCs w:val="17"/>
              </w:rPr>
            </w:pPr>
          </w:p>
        </w:tc>
        <w:tc>
          <w:tcPr>
            <w:tcW w:w="1270" w:type="dxa"/>
            <w:tcBorders>
              <w:bottom w:val="single" w:sz="4" w:space="0" w:color="auto"/>
            </w:tcBorders>
          </w:tcPr>
          <w:p w14:paraId="71CD17F3" w14:textId="77777777" w:rsidR="00600138" w:rsidRPr="00600138" w:rsidRDefault="00600138" w:rsidP="00600138">
            <w:pPr>
              <w:ind w:right="275"/>
              <w:jc w:val="right"/>
              <w:rPr>
                <w:sz w:val="17"/>
                <w:szCs w:val="17"/>
              </w:rPr>
            </w:pPr>
            <w:r w:rsidRPr="00600138">
              <w:rPr>
                <w:sz w:val="17"/>
                <w:szCs w:val="17"/>
              </w:rPr>
              <w:t>483,518</w:t>
            </w:r>
          </w:p>
        </w:tc>
      </w:tr>
      <w:tr w:rsidR="00600138" w:rsidRPr="00600138" w14:paraId="4F49C8E0" w14:textId="77777777" w:rsidTr="008D3E3A">
        <w:tc>
          <w:tcPr>
            <w:tcW w:w="1558" w:type="dxa"/>
            <w:vMerge w:val="restart"/>
            <w:tcBorders>
              <w:bottom w:val="single" w:sz="4" w:space="0" w:color="auto"/>
            </w:tcBorders>
            <w:textDirection w:val="btLr"/>
            <w:vAlign w:val="center"/>
          </w:tcPr>
          <w:p w14:paraId="3D0D85CF" w14:textId="77777777" w:rsidR="00600138" w:rsidRPr="00600138" w:rsidRDefault="00600138" w:rsidP="00600138">
            <w:pPr>
              <w:jc w:val="center"/>
              <w:rPr>
                <w:sz w:val="17"/>
                <w:szCs w:val="17"/>
              </w:rPr>
            </w:pPr>
            <w:r w:rsidRPr="00600138">
              <w:rPr>
                <w:sz w:val="17"/>
                <w:szCs w:val="17"/>
              </w:rPr>
              <w:t>Musgrave</w:t>
            </w:r>
          </w:p>
        </w:tc>
        <w:tc>
          <w:tcPr>
            <w:tcW w:w="2553" w:type="dxa"/>
          </w:tcPr>
          <w:p w14:paraId="4AD3385B" w14:textId="77777777" w:rsidR="00600138" w:rsidRPr="00600138" w:rsidRDefault="00600138" w:rsidP="00600138">
            <w:pPr>
              <w:spacing w:before="40" w:after="40"/>
              <w:rPr>
                <w:sz w:val="17"/>
                <w:szCs w:val="17"/>
              </w:rPr>
            </w:pPr>
            <w:r w:rsidRPr="00600138">
              <w:rPr>
                <w:sz w:val="17"/>
                <w:szCs w:val="17"/>
              </w:rPr>
              <w:t>Polda</w:t>
            </w:r>
          </w:p>
        </w:tc>
        <w:tc>
          <w:tcPr>
            <w:tcW w:w="1276" w:type="dxa"/>
          </w:tcPr>
          <w:p w14:paraId="2425D2F4" w14:textId="77777777" w:rsidR="00600138" w:rsidRPr="00600138" w:rsidRDefault="00600138" w:rsidP="00600138">
            <w:pPr>
              <w:spacing w:before="40" w:after="40"/>
              <w:jc w:val="center"/>
              <w:rPr>
                <w:sz w:val="17"/>
                <w:szCs w:val="17"/>
              </w:rPr>
            </w:pPr>
            <w:r w:rsidRPr="00600138">
              <w:rPr>
                <w:sz w:val="17"/>
                <w:szCs w:val="17"/>
              </w:rPr>
              <w:t>50.73</w:t>
            </w:r>
          </w:p>
        </w:tc>
        <w:tc>
          <w:tcPr>
            <w:tcW w:w="1417" w:type="dxa"/>
          </w:tcPr>
          <w:p w14:paraId="5A1A9096" w14:textId="77777777" w:rsidR="00600138" w:rsidRPr="00600138" w:rsidRDefault="00600138" w:rsidP="00600138">
            <w:pPr>
              <w:spacing w:before="40" w:after="40"/>
              <w:ind w:right="570"/>
              <w:jc w:val="right"/>
              <w:rPr>
                <w:sz w:val="17"/>
                <w:szCs w:val="17"/>
              </w:rPr>
            </w:pPr>
            <w:r w:rsidRPr="00600138">
              <w:rPr>
                <w:sz w:val="17"/>
                <w:szCs w:val="17"/>
              </w:rPr>
              <w:t>0.0</w:t>
            </w:r>
          </w:p>
        </w:tc>
        <w:tc>
          <w:tcPr>
            <w:tcW w:w="1276" w:type="dxa"/>
          </w:tcPr>
          <w:p w14:paraId="4829C24D" w14:textId="77777777" w:rsidR="00600138" w:rsidRPr="00600138" w:rsidRDefault="00600138" w:rsidP="00600138">
            <w:pPr>
              <w:spacing w:before="40" w:after="40"/>
              <w:ind w:right="143"/>
              <w:jc w:val="right"/>
              <w:rPr>
                <w:sz w:val="17"/>
                <w:szCs w:val="17"/>
              </w:rPr>
            </w:pPr>
            <w:r w:rsidRPr="00600138">
              <w:rPr>
                <w:sz w:val="17"/>
                <w:szCs w:val="17"/>
              </w:rPr>
              <w:t>0.000</w:t>
            </w:r>
          </w:p>
        </w:tc>
        <w:tc>
          <w:tcPr>
            <w:tcW w:w="1270" w:type="dxa"/>
          </w:tcPr>
          <w:p w14:paraId="050FEED3" w14:textId="77777777" w:rsidR="00600138" w:rsidRPr="00600138" w:rsidRDefault="00600138" w:rsidP="00600138">
            <w:pPr>
              <w:spacing w:before="40" w:after="40"/>
              <w:ind w:right="275"/>
              <w:jc w:val="right"/>
              <w:rPr>
                <w:sz w:val="17"/>
                <w:szCs w:val="17"/>
              </w:rPr>
            </w:pPr>
            <w:r w:rsidRPr="00600138">
              <w:rPr>
                <w:sz w:val="17"/>
                <w:szCs w:val="17"/>
              </w:rPr>
              <w:t>34,730</w:t>
            </w:r>
          </w:p>
        </w:tc>
      </w:tr>
      <w:tr w:rsidR="00600138" w:rsidRPr="00600138" w14:paraId="67DC8858" w14:textId="77777777" w:rsidTr="008D3E3A">
        <w:tc>
          <w:tcPr>
            <w:tcW w:w="1558" w:type="dxa"/>
            <w:vMerge/>
            <w:tcBorders>
              <w:bottom w:val="single" w:sz="4" w:space="0" w:color="auto"/>
            </w:tcBorders>
          </w:tcPr>
          <w:p w14:paraId="5CAC2A5E" w14:textId="77777777" w:rsidR="00600138" w:rsidRPr="00600138" w:rsidRDefault="00600138" w:rsidP="00600138">
            <w:pPr>
              <w:rPr>
                <w:sz w:val="17"/>
                <w:szCs w:val="17"/>
              </w:rPr>
            </w:pPr>
          </w:p>
        </w:tc>
        <w:tc>
          <w:tcPr>
            <w:tcW w:w="2553" w:type="dxa"/>
          </w:tcPr>
          <w:p w14:paraId="53E22EB1" w14:textId="77777777" w:rsidR="00600138" w:rsidRPr="00600138" w:rsidRDefault="00600138" w:rsidP="00600138">
            <w:pPr>
              <w:spacing w:after="40"/>
              <w:rPr>
                <w:sz w:val="17"/>
                <w:szCs w:val="17"/>
              </w:rPr>
            </w:pPr>
            <w:r w:rsidRPr="00600138">
              <w:rPr>
                <w:sz w:val="17"/>
                <w:szCs w:val="17"/>
              </w:rPr>
              <w:t>Bramfield</w:t>
            </w:r>
          </w:p>
        </w:tc>
        <w:tc>
          <w:tcPr>
            <w:tcW w:w="1276" w:type="dxa"/>
          </w:tcPr>
          <w:p w14:paraId="27260E46" w14:textId="77777777" w:rsidR="00600138" w:rsidRPr="00600138" w:rsidRDefault="00600138" w:rsidP="00600138">
            <w:pPr>
              <w:spacing w:after="40"/>
              <w:jc w:val="center"/>
              <w:rPr>
                <w:sz w:val="17"/>
                <w:szCs w:val="17"/>
              </w:rPr>
            </w:pPr>
            <w:r w:rsidRPr="00600138">
              <w:rPr>
                <w:sz w:val="17"/>
                <w:szCs w:val="17"/>
              </w:rPr>
              <w:t>71.84</w:t>
            </w:r>
          </w:p>
        </w:tc>
        <w:tc>
          <w:tcPr>
            <w:tcW w:w="1417" w:type="dxa"/>
          </w:tcPr>
          <w:p w14:paraId="79FE6253" w14:textId="77777777" w:rsidR="00600138" w:rsidRPr="00600138" w:rsidRDefault="00600138" w:rsidP="00600138">
            <w:pPr>
              <w:spacing w:after="40"/>
              <w:ind w:right="570"/>
              <w:jc w:val="right"/>
              <w:rPr>
                <w:sz w:val="17"/>
                <w:szCs w:val="17"/>
              </w:rPr>
            </w:pPr>
            <w:r w:rsidRPr="00600138">
              <w:rPr>
                <w:sz w:val="17"/>
                <w:szCs w:val="17"/>
              </w:rPr>
              <w:t>7.6</w:t>
            </w:r>
          </w:p>
        </w:tc>
        <w:tc>
          <w:tcPr>
            <w:tcW w:w="1276" w:type="dxa"/>
          </w:tcPr>
          <w:p w14:paraId="2F0F149F" w14:textId="77777777" w:rsidR="00600138" w:rsidRPr="00600138" w:rsidRDefault="00600138" w:rsidP="00600138">
            <w:pPr>
              <w:spacing w:after="40"/>
              <w:ind w:right="143"/>
              <w:jc w:val="right"/>
              <w:rPr>
                <w:sz w:val="17"/>
                <w:szCs w:val="17"/>
              </w:rPr>
            </w:pPr>
            <w:r w:rsidRPr="00600138">
              <w:rPr>
                <w:sz w:val="17"/>
                <w:szCs w:val="17"/>
              </w:rPr>
              <w:t>0.076</w:t>
            </w:r>
          </w:p>
        </w:tc>
        <w:tc>
          <w:tcPr>
            <w:tcW w:w="1270" w:type="dxa"/>
          </w:tcPr>
          <w:p w14:paraId="7096E503" w14:textId="77777777" w:rsidR="00600138" w:rsidRPr="00600138" w:rsidRDefault="00600138" w:rsidP="00600138">
            <w:pPr>
              <w:spacing w:after="40"/>
              <w:ind w:right="275"/>
              <w:jc w:val="right"/>
              <w:rPr>
                <w:sz w:val="17"/>
                <w:szCs w:val="17"/>
              </w:rPr>
            </w:pPr>
            <w:r w:rsidRPr="00600138">
              <w:rPr>
                <w:sz w:val="17"/>
                <w:szCs w:val="17"/>
              </w:rPr>
              <w:t>270,505</w:t>
            </w:r>
          </w:p>
        </w:tc>
      </w:tr>
      <w:tr w:rsidR="00600138" w:rsidRPr="00600138" w14:paraId="368F588D" w14:textId="77777777" w:rsidTr="008D3E3A">
        <w:tc>
          <w:tcPr>
            <w:tcW w:w="1558" w:type="dxa"/>
            <w:vMerge/>
            <w:tcBorders>
              <w:bottom w:val="single" w:sz="4" w:space="0" w:color="auto"/>
            </w:tcBorders>
          </w:tcPr>
          <w:p w14:paraId="1267734F" w14:textId="77777777" w:rsidR="00600138" w:rsidRPr="00600138" w:rsidRDefault="00600138" w:rsidP="00600138">
            <w:pPr>
              <w:rPr>
                <w:sz w:val="17"/>
                <w:szCs w:val="17"/>
              </w:rPr>
            </w:pPr>
          </w:p>
        </w:tc>
        <w:tc>
          <w:tcPr>
            <w:tcW w:w="2553" w:type="dxa"/>
          </w:tcPr>
          <w:p w14:paraId="25BF6149" w14:textId="77777777" w:rsidR="00600138" w:rsidRPr="00600138" w:rsidRDefault="00600138" w:rsidP="00600138">
            <w:pPr>
              <w:spacing w:after="40"/>
              <w:rPr>
                <w:sz w:val="17"/>
                <w:szCs w:val="17"/>
              </w:rPr>
            </w:pPr>
            <w:r w:rsidRPr="00600138">
              <w:rPr>
                <w:sz w:val="17"/>
                <w:szCs w:val="17"/>
              </w:rPr>
              <w:t>Sheringa</w:t>
            </w:r>
          </w:p>
        </w:tc>
        <w:tc>
          <w:tcPr>
            <w:tcW w:w="1276" w:type="dxa"/>
          </w:tcPr>
          <w:p w14:paraId="3A040137" w14:textId="77777777" w:rsidR="00600138" w:rsidRPr="00600138" w:rsidRDefault="00600138" w:rsidP="00600138">
            <w:pPr>
              <w:spacing w:after="40"/>
              <w:jc w:val="center"/>
              <w:rPr>
                <w:sz w:val="17"/>
                <w:szCs w:val="17"/>
              </w:rPr>
            </w:pPr>
            <w:r w:rsidRPr="00600138">
              <w:rPr>
                <w:sz w:val="17"/>
                <w:szCs w:val="17"/>
              </w:rPr>
              <w:t>78.19</w:t>
            </w:r>
          </w:p>
        </w:tc>
        <w:tc>
          <w:tcPr>
            <w:tcW w:w="1417" w:type="dxa"/>
          </w:tcPr>
          <w:p w14:paraId="46AF70B3" w14:textId="77777777" w:rsidR="00600138" w:rsidRPr="00600138" w:rsidRDefault="00600138" w:rsidP="00600138">
            <w:pPr>
              <w:spacing w:after="40"/>
              <w:ind w:right="570"/>
              <w:jc w:val="right"/>
              <w:rPr>
                <w:sz w:val="17"/>
                <w:szCs w:val="17"/>
              </w:rPr>
            </w:pPr>
            <w:r w:rsidRPr="00600138">
              <w:rPr>
                <w:sz w:val="17"/>
                <w:szCs w:val="17"/>
              </w:rPr>
              <w:t>34.7</w:t>
            </w:r>
          </w:p>
        </w:tc>
        <w:tc>
          <w:tcPr>
            <w:tcW w:w="1276" w:type="dxa"/>
          </w:tcPr>
          <w:p w14:paraId="53835513" w14:textId="77777777" w:rsidR="00600138" w:rsidRPr="00600138" w:rsidRDefault="00600138" w:rsidP="00600138">
            <w:pPr>
              <w:spacing w:after="40"/>
              <w:ind w:right="143"/>
              <w:jc w:val="right"/>
              <w:rPr>
                <w:sz w:val="17"/>
                <w:szCs w:val="17"/>
              </w:rPr>
            </w:pPr>
            <w:r w:rsidRPr="00600138">
              <w:rPr>
                <w:sz w:val="17"/>
                <w:szCs w:val="17"/>
              </w:rPr>
              <w:t>0.347</w:t>
            </w:r>
          </w:p>
        </w:tc>
        <w:tc>
          <w:tcPr>
            <w:tcW w:w="1270" w:type="dxa"/>
          </w:tcPr>
          <w:p w14:paraId="70638FC4" w14:textId="77777777" w:rsidR="00600138" w:rsidRPr="00600138" w:rsidRDefault="00600138" w:rsidP="00600138">
            <w:pPr>
              <w:spacing w:after="40"/>
              <w:ind w:right="275"/>
              <w:jc w:val="right"/>
              <w:rPr>
                <w:sz w:val="17"/>
                <w:szCs w:val="17"/>
              </w:rPr>
            </w:pPr>
            <w:r w:rsidRPr="00600138">
              <w:rPr>
                <w:sz w:val="17"/>
                <w:szCs w:val="17"/>
              </w:rPr>
              <w:t>541,957</w:t>
            </w:r>
          </w:p>
        </w:tc>
      </w:tr>
      <w:tr w:rsidR="00600138" w:rsidRPr="00600138" w14:paraId="703A2BC9" w14:textId="77777777" w:rsidTr="008D3E3A">
        <w:tc>
          <w:tcPr>
            <w:tcW w:w="1558" w:type="dxa"/>
            <w:vMerge/>
            <w:tcBorders>
              <w:bottom w:val="single" w:sz="4" w:space="0" w:color="auto"/>
            </w:tcBorders>
          </w:tcPr>
          <w:p w14:paraId="3444E6ED" w14:textId="77777777" w:rsidR="00600138" w:rsidRPr="00600138" w:rsidRDefault="00600138" w:rsidP="00600138">
            <w:pPr>
              <w:rPr>
                <w:sz w:val="17"/>
                <w:szCs w:val="17"/>
              </w:rPr>
            </w:pPr>
          </w:p>
        </w:tc>
        <w:tc>
          <w:tcPr>
            <w:tcW w:w="2553" w:type="dxa"/>
          </w:tcPr>
          <w:p w14:paraId="525BD36F" w14:textId="77777777" w:rsidR="00600138" w:rsidRPr="00600138" w:rsidRDefault="00600138" w:rsidP="00600138">
            <w:pPr>
              <w:spacing w:after="40"/>
              <w:rPr>
                <w:sz w:val="17"/>
                <w:szCs w:val="17"/>
              </w:rPr>
            </w:pPr>
            <w:r w:rsidRPr="00600138">
              <w:rPr>
                <w:sz w:val="17"/>
                <w:szCs w:val="17"/>
              </w:rPr>
              <w:t>Aquaculture Elliston</w:t>
            </w:r>
          </w:p>
        </w:tc>
        <w:tc>
          <w:tcPr>
            <w:tcW w:w="1276" w:type="dxa"/>
          </w:tcPr>
          <w:p w14:paraId="27CB3227" w14:textId="77777777" w:rsidR="00600138" w:rsidRPr="00600138" w:rsidRDefault="00600138" w:rsidP="00600138">
            <w:pPr>
              <w:spacing w:after="40"/>
              <w:jc w:val="center"/>
              <w:rPr>
                <w:sz w:val="17"/>
                <w:szCs w:val="17"/>
              </w:rPr>
            </w:pPr>
          </w:p>
        </w:tc>
        <w:tc>
          <w:tcPr>
            <w:tcW w:w="1417" w:type="dxa"/>
          </w:tcPr>
          <w:p w14:paraId="394FBA11" w14:textId="77777777" w:rsidR="00600138" w:rsidRPr="00600138" w:rsidRDefault="00600138" w:rsidP="00600138">
            <w:pPr>
              <w:spacing w:after="40"/>
              <w:ind w:right="570"/>
              <w:jc w:val="right"/>
              <w:rPr>
                <w:sz w:val="17"/>
                <w:szCs w:val="17"/>
              </w:rPr>
            </w:pPr>
          </w:p>
        </w:tc>
        <w:tc>
          <w:tcPr>
            <w:tcW w:w="1276" w:type="dxa"/>
          </w:tcPr>
          <w:p w14:paraId="42A1E4FC" w14:textId="77777777" w:rsidR="00600138" w:rsidRPr="00600138" w:rsidRDefault="00600138" w:rsidP="00600138">
            <w:pPr>
              <w:spacing w:after="40"/>
              <w:ind w:right="143"/>
              <w:jc w:val="right"/>
              <w:rPr>
                <w:sz w:val="17"/>
                <w:szCs w:val="17"/>
              </w:rPr>
            </w:pPr>
          </w:p>
        </w:tc>
        <w:tc>
          <w:tcPr>
            <w:tcW w:w="1270" w:type="dxa"/>
          </w:tcPr>
          <w:p w14:paraId="57DA63F9" w14:textId="77777777" w:rsidR="00600138" w:rsidRPr="00600138" w:rsidRDefault="00600138" w:rsidP="00600138">
            <w:pPr>
              <w:spacing w:after="40"/>
              <w:ind w:right="275"/>
              <w:jc w:val="right"/>
              <w:rPr>
                <w:sz w:val="17"/>
                <w:szCs w:val="17"/>
              </w:rPr>
            </w:pPr>
            <w:r w:rsidRPr="00600138">
              <w:rPr>
                <w:sz w:val="17"/>
                <w:szCs w:val="17"/>
              </w:rPr>
              <w:t>10,000</w:t>
            </w:r>
          </w:p>
        </w:tc>
      </w:tr>
      <w:tr w:rsidR="00600138" w:rsidRPr="00600138" w14:paraId="5C5B17A5" w14:textId="77777777" w:rsidTr="008D3E3A">
        <w:tc>
          <w:tcPr>
            <w:tcW w:w="1558" w:type="dxa"/>
            <w:vMerge/>
            <w:tcBorders>
              <w:bottom w:val="single" w:sz="4" w:space="0" w:color="auto"/>
            </w:tcBorders>
          </w:tcPr>
          <w:p w14:paraId="02AEA02E" w14:textId="77777777" w:rsidR="00600138" w:rsidRPr="00600138" w:rsidRDefault="00600138" w:rsidP="00600138">
            <w:pPr>
              <w:rPr>
                <w:sz w:val="17"/>
                <w:szCs w:val="17"/>
              </w:rPr>
            </w:pPr>
          </w:p>
        </w:tc>
        <w:tc>
          <w:tcPr>
            <w:tcW w:w="2553" w:type="dxa"/>
          </w:tcPr>
          <w:p w14:paraId="0043B665" w14:textId="77777777" w:rsidR="00600138" w:rsidRPr="00600138" w:rsidRDefault="00600138" w:rsidP="00600138">
            <w:pPr>
              <w:spacing w:after="40"/>
              <w:rPr>
                <w:sz w:val="17"/>
                <w:szCs w:val="17"/>
              </w:rPr>
            </w:pPr>
            <w:r w:rsidRPr="00600138">
              <w:rPr>
                <w:sz w:val="17"/>
                <w:szCs w:val="17"/>
              </w:rPr>
              <w:t>Musgrave Unsaturated</w:t>
            </w:r>
          </w:p>
        </w:tc>
        <w:tc>
          <w:tcPr>
            <w:tcW w:w="1276" w:type="dxa"/>
          </w:tcPr>
          <w:p w14:paraId="40B8DE37" w14:textId="77777777" w:rsidR="00600138" w:rsidRPr="00600138" w:rsidRDefault="00600138" w:rsidP="00600138">
            <w:pPr>
              <w:spacing w:after="40"/>
              <w:jc w:val="center"/>
              <w:rPr>
                <w:sz w:val="17"/>
                <w:szCs w:val="17"/>
              </w:rPr>
            </w:pPr>
          </w:p>
        </w:tc>
        <w:tc>
          <w:tcPr>
            <w:tcW w:w="1417" w:type="dxa"/>
          </w:tcPr>
          <w:p w14:paraId="0F31C430" w14:textId="77777777" w:rsidR="00600138" w:rsidRPr="00600138" w:rsidRDefault="00600138" w:rsidP="00600138">
            <w:pPr>
              <w:spacing w:after="40"/>
              <w:ind w:right="570"/>
              <w:jc w:val="right"/>
              <w:rPr>
                <w:sz w:val="17"/>
                <w:szCs w:val="17"/>
              </w:rPr>
            </w:pPr>
          </w:p>
        </w:tc>
        <w:tc>
          <w:tcPr>
            <w:tcW w:w="1276" w:type="dxa"/>
          </w:tcPr>
          <w:p w14:paraId="03401159" w14:textId="77777777" w:rsidR="00600138" w:rsidRPr="00600138" w:rsidRDefault="00600138" w:rsidP="00600138">
            <w:pPr>
              <w:spacing w:after="40"/>
              <w:ind w:right="143"/>
              <w:jc w:val="right"/>
              <w:rPr>
                <w:sz w:val="17"/>
                <w:szCs w:val="17"/>
              </w:rPr>
            </w:pPr>
          </w:p>
        </w:tc>
        <w:tc>
          <w:tcPr>
            <w:tcW w:w="1270" w:type="dxa"/>
          </w:tcPr>
          <w:p w14:paraId="4BE647BE" w14:textId="77777777" w:rsidR="00600138" w:rsidRPr="00600138" w:rsidRDefault="00600138" w:rsidP="00600138">
            <w:pPr>
              <w:spacing w:after="40"/>
              <w:ind w:right="275"/>
              <w:jc w:val="right"/>
              <w:rPr>
                <w:sz w:val="17"/>
                <w:szCs w:val="17"/>
              </w:rPr>
            </w:pPr>
            <w:r w:rsidRPr="00600138">
              <w:rPr>
                <w:sz w:val="17"/>
                <w:szCs w:val="17"/>
              </w:rPr>
              <w:t>10,600</w:t>
            </w:r>
          </w:p>
        </w:tc>
      </w:tr>
      <w:tr w:rsidR="00600138" w:rsidRPr="00600138" w14:paraId="11349C3B" w14:textId="77777777" w:rsidTr="008D3E3A">
        <w:tc>
          <w:tcPr>
            <w:tcW w:w="1558" w:type="dxa"/>
            <w:vMerge/>
            <w:tcBorders>
              <w:bottom w:val="single" w:sz="4" w:space="0" w:color="auto"/>
            </w:tcBorders>
          </w:tcPr>
          <w:p w14:paraId="2DA6FAB2" w14:textId="77777777" w:rsidR="00600138" w:rsidRPr="00600138" w:rsidRDefault="00600138" w:rsidP="00600138">
            <w:pPr>
              <w:rPr>
                <w:sz w:val="17"/>
                <w:szCs w:val="17"/>
              </w:rPr>
            </w:pPr>
          </w:p>
        </w:tc>
        <w:tc>
          <w:tcPr>
            <w:tcW w:w="2553" w:type="dxa"/>
          </w:tcPr>
          <w:p w14:paraId="79EC4BC3" w14:textId="77777777" w:rsidR="00600138" w:rsidRPr="00600138" w:rsidRDefault="00600138" w:rsidP="00600138">
            <w:pPr>
              <w:spacing w:after="40"/>
              <w:rPr>
                <w:sz w:val="17"/>
                <w:szCs w:val="17"/>
              </w:rPr>
            </w:pPr>
            <w:r w:rsidRPr="00600138">
              <w:rPr>
                <w:sz w:val="17"/>
                <w:szCs w:val="17"/>
              </w:rPr>
              <w:t>Tertiary</w:t>
            </w:r>
          </w:p>
        </w:tc>
        <w:tc>
          <w:tcPr>
            <w:tcW w:w="1276" w:type="dxa"/>
          </w:tcPr>
          <w:p w14:paraId="79237484" w14:textId="77777777" w:rsidR="00600138" w:rsidRPr="00600138" w:rsidRDefault="00600138" w:rsidP="00600138">
            <w:pPr>
              <w:spacing w:after="40"/>
              <w:jc w:val="center"/>
              <w:rPr>
                <w:sz w:val="17"/>
                <w:szCs w:val="17"/>
              </w:rPr>
            </w:pPr>
          </w:p>
        </w:tc>
        <w:tc>
          <w:tcPr>
            <w:tcW w:w="1417" w:type="dxa"/>
          </w:tcPr>
          <w:p w14:paraId="6039F5BF" w14:textId="77777777" w:rsidR="00600138" w:rsidRPr="00600138" w:rsidRDefault="00600138" w:rsidP="00600138">
            <w:pPr>
              <w:spacing w:after="40"/>
              <w:ind w:right="570"/>
              <w:jc w:val="right"/>
              <w:rPr>
                <w:sz w:val="17"/>
                <w:szCs w:val="17"/>
              </w:rPr>
            </w:pPr>
          </w:p>
        </w:tc>
        <w:tc>
          <w:tcPr>
            <w:tcW w:w="1276" w:type="dxa"/>
          </w:tcPr>
          <w:p w14:paraId="2A957BBA" w14:textId="77777777" w:rsidR="00600138" w:rsidRPr="00600138" w:rsidRDefault="00600138" w:rsidP="00600138">
            <w:pPr>
              <w:spacing w:after="40"/>
              <w:ind w:right="143"/>
              <w:jc w:val="right"/>
              <w:rPr>
                <w:sz w:val="17"/>
                <w:szCs w:val="17"/>
              </w:rPr>
            </w:pPr>
          </w:p>
        </w:tc>
        <w:tc>
          <w:tcPr>
            <w:tcW w:w="1270" w:type="dxa"/>
          </w:tcPr>
          <w:p w14:paraId="43B85228" w14:textId="77777777" w:rsidR="00600138" w:rsidRPr="00600138" w:rsidRDefault="00600138" w:rsidP="00600138">
            <w:pPr>
              <w:spacing w:after="40"/>
              <w:ind w:right="275"/>
              <w:jc w:val="right"/>
              <w:rPr>
                <w:sz w:val="17"/>
                <w:szCs w:val="17"/>
              </w:rPr>
            </w:pPr>
            <w:r w:rsidRPr="00600138">
              <w:rPr>
                <w:sz w:val="17"/>
                <w:szCs w:val="17"/>
              </w:rPr>
              <w:t>68,390</w:t>
            </w:r>
          </w:p>
        </w:tc>
      </w:tr>
      <w:tr w:rsidR="00600138" w:rsidRPr="00600138" w14:paraId="5CD76C81" w14:textId="77777777" w:rsidTr="008D3E3A">
        <w:tc>
          <w:tcPr>
            <w:tcW w:w="1558" w:type="dxa"/>
            <w:vMerge/>
            <w:tcBorders>
              <w:bottom w:val="single" w:sz="4" w:space="0" w:color="auto"/>
            </w:tcBorders>
          </w:tcPr>
          <w:p w14:paraId="2A5A32CA" w14:textId="77777777" w:rsidR="00600138" w:rsidRPr="00600138" w:rsidRDefault="00600138" w:rsidP="00600138">
            <w:pPr>
              <w:rPr>
                <w:sz w:val="17"/>
                <w:szCs w:val="17"/>
              </w:rPr>
            </w:pPr>
          </w:p>
        </w:tc>
        <w:tc>
          <w:tcPr>
            <w:tcW w:w="2553" w:type="dxa"/>
            <w:tcBorders>
              <w:bottom w:val="single" w:sz="4" w:space="0" w:color="auto"/>
            </w:tcBorders>
          </w:tcPr>
          <w:p w14:paraId="615B416D" w14:textId="77777777" w:rsidR="00600138" w:rsidRPr="00600138" w:rsidRDefault="00600138" w:rsidP="00600138">
            <w:pPr>
              <w:rPr>
                <w:sz w:val="17"/>
                <w:szCs w:val="17"/>
              </w:rPr>
            </w:pPr>
            <w:r w:rsidRPr="00600138">
              <w:rPr>
                <w:sz w:val="17"/>
                <w:szCs w:val="17"/>
              </w:rPr>
              <w:t>Basement</w:t>
            </w:r>
          </w:p>
        </w:tc>
        <w:tc>
          <w:tcPr>
            <w:tcW w:w="1276" w:type="dxa"/>
            <w:tcBorders>
              <w:bottom w:val="single" w:sz="4" w:space="0" w:color="auto"/>
            </w:tcBorders>
          </w:tcPr>
          <w:p w14:paraId="04E9EED5" w14:textId="77777777" w:rsidR="00600138" w:rsidRPr="00600138" w:rsidRDefault="00600138" w:rsidP="00600138">
            <w:pPr>
              <w:jc w:val="center"/>
              <w:rPr>
                <w:sz w:val="17"/>
                <w:szCs w:val="17"/>
              </w:rPr>
            </w:pPr>
          </w:p>
        </w:tc>
        <w:tc>
          <w:tcPr>
            <w:tcW w:w="1417" w:type="dxa"/>
            <w:tcBorders>
              <w:bottom w:val="single" w:sz="4" w:space="0" w:color="auto"/>
            </w:tcBorders>
          </w:tcPr>
          <w:p w14:paraId="1D7C1B00" w14:textId="77777777" w:rsidR="00600138" w:rsidRPr="00600138" w:rsidRDefault="00600138" w:rsidP="00600138">
            <w:pPr>
              <w:ind w:right="570"/>
              <w:jc w:val="right"/>
              <w:rPr>
                <w:sz w:val="17"/>
                <w:szCs w:val="17"/>
              </w:rPr>
            </w:pPr>
          </w:p>
        </w:tc>
        <w:tc>
          <w:tcPr>
            <w:tcW w:w="1276" w:type="dxa"/>
            <w:tcBorders>
              <w:bottom w:val="single" w:sz="4" w:space="0" w:color="auto"/>
            </w:tcBorders>
          </w:tcPr>
          <w:p w14:paraId="3D249CA0" w14:textId="77777777" w:rsidR="00600138" w:rsidRPr="00600138" w:rsidRDefault="00600138" w:rsidP="00600138">
            <w:pPr>
              <w:ind w:right="143"/>
              <w:jc w:val="right"/>
              <w:rPr>
                <w:sz w:val="17"/>
                <w:szCs w:val="17"/>
              </w:rPr>
            </w:pPr>
          </w:p>
        </w:tc>
        <w:tc>
          <w:tcPr>
            <w:tcW w:w="1270" w:type="dxa"/>
            <w:tcBorders>
              <w:bottom w:val="single" w:sz="4" w:space="0" w:color="auto"/>
            </w:tcBorders>
          </w:tcPr>
          <w:p w14:paraId="409986DC" w14:textId="77777777" w:rsidR="00600138" w:rsidRPr="00600138" w:rsidRDefault="00600138" w:rsidP="00600138">
            <w:pPr>
              <w:ind w:right="275"/>
              <w:jc w:val="right"/>
              <w:rPr>
                <w:sz w:val="17"/>
                <w:szCs w:val="17"/>
              </w:rPr>
            </w:pPr>
            <w:r w:rsidRPr="00600138">
              <w:rPr>
                <w:sz w:val="17"/>
                <w:szCs w:val="17"/>
              </w:rPr>
              <w:t>67,270</w:t>
            </w:r>
          </w:p>
        </w:tc>
      </w:tr>
      <w:tr w:rsidR="00600138" w:rsidRPr="00600138" w14:paraId="39CE3C2A" w14:textId="77777777" w:rsidTr="008D3E3A">
        <w:tc>
          <w:tcPr>
            <w:tcW w:w="1558" w:type="dxa"/>
            <w:tcBorders>
              <w:top w:val="single" w:sz="4" w:space="0" w:color="auto"/>
            </w:tcBorders>
          </w:tcPr>
          <w:p w14:paraId="4F6A6EBF" w14:textId="77777777" w:rsidR="00600138" w:rsidRPr="00600138" w:rsidRDefault="00600138" w:rsidP="00600138">
            <w:pPr>
              <w:spacing w:after="0" w:line="120" w:lineRule="exact"/>
              <w:rPr>
                <w:sz w:val="17"/>
                <w:szCs w:val="17"/>
              </w:rPr>
            </w:pPr>
          </w:p>
        </w:tc>
        <w:tc>
          <w:tcPr>
            <w:tcW w:w="2553" w:type="dxa"/>
            <w:tcBorders>
              <w:top w:val="single" w:sz="4" w:space="0" w:color="auto"/>
            </w:tcBorders>
          </w:tcPr>
          <w:p w14:paraId="41278614" w14:textId="77777777" w:rsidR="00600138" w:rsidRPr="00600138" w:rsidRDefault="00600138" w:rsidP="00600138">
            <w:pPr>
              <w:spacing w:after="0" w:line="120" w:lineRule="exact"/>
              <w:rPr>
                <w:sz w:val="17"/>
                <w:szCs w:val="17"/>
              </w:rPr>
            </w:pPr>
          </w:p>
        </w:tc>
        <w:tc>
          <w:tcPr>
            <w:tcW w:w="1276" w:type="dxa"/>
            <w:tcBorders>
              <w:top w:val="single" w:sz="4" w:space="0" w:color="auto"/>
            </w:tcBorders>
          </w:tcPr>
          <w:p w14:paraId="244F8E4D" w14:textId="77777777" w:rsidR="00600138" w:rsidRPr="00600138" w:rsidRDefault="00600138" w:rsidP="00600138">
            <w:pPr>
              <w:spacing w:after="0" w:line="120" w:lineRule="exact"/>
              <w:rPr>
                <w:sz w:val="17"/>
                <w:szCs w:val="17"/>
              </w:rPr>
            </w:pPr>
          </w:p>
        </w:tc>
        <w:tc>
          <w:tcPr>
            <w:tcW w:w="1417" w:type="dxa"/>
            <w:tcBorders>
              <w:top w:val="single" w:sz="4" w:space="0" w:color="auto"/>
            </w:tcBorders>
          </w:tcPr>
          <w:p w14:paraId="1B12DC11" w14:textId="77777777" w:rsidR="00600138" w:rsidRPr="00600138" w:rsidRDefault="00600138" w:rsidP="00600138">
            <w:pPr>
              <w:spacing w:after="0" w:line="120" w:lineRule="exact"/>
              <w:rPr>
                <w:sz w:val="17"/>
                <w:szCs w:val="17"/>
              </w:rPr>
            </w:pPr>
          </w:p>
        </w:tc>
        <w:tc>
          <w:tcPr>
            <w:tcW w:w="1276" w:type="dxa"/>
            <w:tcBorders>
              <w:top w:val="single" w:sz="4" w:space="0" w:color="auto"/>
            </w:tcBorders>
          </w:tcPr>
          <w:p w14:paraId="3D914594" w14:textId="77777777" w:rsidR="00600138" w:rsidRPr="00600138" w:rsidRDefault="00600138" w:rsidP="00600138">
            <w:pPr>
              <w:spacing w:after="0" w:line="120" w:lineRule="exact"/>
              <w:rPr>
                <w:sz w:val="17"/>
                <w:szCs w:val="17"/>
              </w:rPr>
            </w:pPr>
          </w:p>
        </w:tc>
        <w:tc>
          <w:tcPr>
            <w:tcW w:w="1270" w:type="dxa"/>
            <w:tcBorders>
              <w:top w:val="single" w:sz="4" w:space="0" w:color="auto"/>
            </w:tcBorders>
          </w:tcPr>
          <w:p w14:paraId="09270A99" w14:textId="77777777" w:rsidR="00600138" w:rsidRPr="00600138" w:rsidRDefault="00600138" w:rsidP="00600138">
            <w:pPr>
              <w:spacing w:after="0" w:line="120" w:lineRule="exact"/>
              <w:rPr>
                <w:sz w:val="17"/>
                <w:szCs w:val="17"/>
              </w:rPr>
            </w:pPr>
          </w:p>
        </w:tc>
      </w:tr>
    </w:tbl>
    <w:p w14:paraId="37E6F405" w14:textId="77777777" w:rsidR="00600138" w:rsidRPr="00600138" w:rsidRDefault="00600138" w:rsidP="00600138">
      <w:pPr>
        <w:spacing w:after="0"/>
        <w:rPr>
          <w:rFonts w:ascii="Times New Roman" w:eastAsia="Times New Roman" w:hAnsi="Times New Roman"/>
          <w:sz w:val="17"/>
          <w:szCs w:val="17"/>
        </w:rPr>
      </w:pPr>
      <w:r w:rsidRPr="00600138">
        <w:rPr>
          <w:rFonts w:ascii="Times New Roman" w:eastAsia="Times New Roman" w:hAnsi="Times New Roman"/>
          <w:sz w:val="17"/>
          <w:szCs w:val="17"/>
        </w:rPr>
        <w:t>Dated: 26 June 2025</w:t>
      </w:r>
    </w:p>
    <w:p w14:paraId="322C38B6" w14:textId="77777777" w:rsidR="00600138" w:rsidRPr="00600138" w:rsidRDefault="00600138" w:rsidP="00600138">
      <w:pPr>
        <w:spacing w:after="0"/>
        <w:jc w:val="right"/>
        <w:rPr>
          <w:rFonts w:ascii="Times New Roman" w:eastAsia="Times New Roman" w:hAnsi="Times New Roman"/>
          <w:smallCaps/>
          <w:sz w:val="17"/>
          <w:szCs w:val="17"/>
        </w:rPr>
      </w:pPr>
      <w:r w:rsidRPr="00600138">
        <w:rPr>
          <w:rFonts w:ascii="Times New Roman" w:eastAsia="Times New Roman" w:hAnsi="Times New Roman"/>
          <w:smallCaps/>
          <w:sz w:val="17"/>
          <w:szCs w:val="20"/>
        </w:rPr>
        <w:t>Hon Susan Close MP</w:t>
      </w:r>
    </w:p>
    <w:p w14:paraId="6588703D" w14:textId="77777777" w:rsidR="00600138" w:rsidRPr="00600138" w:rsidRDefault="00600138" w:rsidP="00600138">
      <w:pPr>
        <w:spacing w:after="0"/>
        <w:jc w:val="right"/>
        <w:rPr>
          <w:rFonts w:ascii="Times New Roman" w:eastAsia="Times New Roman" w:hAnsi="Times New Roman"/>
          <w:sz w:val="17"/>
          <w:szCs w:val="17"/>
        </w:rPr>
      </w:pPr>
      <w:r w:rsidRPr="00600138">
        <w:rPr>
          <w:rFonts w:ascii="Times New Roman" w:eastAsia="Times New Roman" w:hAnsi="Times New Roman"/>
          <w:sz w:val="17"/>
          <w:szCs w:val="17"/>
        </w:rPr>
        <w:t>Minister for Climate, Environment and Water</w:t>
      </w:r>
    </w:p>
    <w:p w14:paraId="3E46B0FF" w14:textId="77777777" w:rsidR="00600138" w:rsidRPr="00600138" w:rsidRDefault="00600138" w:rsidP="00600138">
      <w:pPr>
        <w:pBdr>
          <w:bottom w:val="single" w:sz="4" w:space="1" w:color="auto"/>
        </w:pBdr>
        <w:spacing w:after="0" w:line="52" w:lineRule="exact"/>
        <w:jc w:val="center"/>
        <w:rPr>
          <w:rFonts w:ascii="Times New Roman" w:eastAsia="Times New Roman" w:hAnsi="Times New Roman"/>
          <w:sz w:val="17"/>
          <w:szCs w:val="17"/>
        </w:rPr>
      </w:pPr>
    </w:p>
    <w:p w14:paraId="39010280" w14:textId="77777777" w:rsidR="00600138" w:rsidRPr="00600138" w:rsidRDefault="00600138" w:rsidP="00600138">
      <w:pPr>
        <w:pBdr>
          <w:top w:val="single" w:sz="4" w:space="1" w:color="auto"/>
        </w:pBdr>
        <w:spacing w:before="34" w:after="0" w:line="14" w:lineRule="exact"/>
        <w:jc w:val="center"/>
        <w:rPr>
          <w:rFonts w:ascii="Times New Roman" w:eastAsia="Times New Roman" w:hAnsi="Times New Roman"/>
          <w:sz w:val="17"/>
          <w:szCs w:val="17"/>
        </w:rPr>
      </w:pPr>
    </w:p>
    <w:p w14:paraId="76C9B67F" w14:textId="77777777" w:rsidR="00600138" w:rsidRPr="00600138" w:rsidRDefault="00600138" w:rsidP="00600138">
      <w:pPr>
        <w:rPr>
          <w:rFonts w:ascii="Times New Roman" w:eastAsia="Times New Roman" w:hAnsi="Times New Roman"/>
          <w:sz w:val="17"/>
          <w:szCs w:val="17"/>
        </w:rPr>
      </w:pPr>
    </w:p>
    <w:p w14:paraId="0E52FA12" w14:textId="77777777" w:rsidR="00E24C16" w:rsidRPr="00E24C16" w:rsidRDefault="00E24C16" w:rsidP="00E24C16">
      <w:pPr>
        <w:pStyle w:val="GG-body"/>
      </w:pPr>
    </w:p>
    <w:p w14:paraId="21913667" w14:textId="77777777" w:rsidR="00F337C8" w:rsidRDefault="00F337C8" w:rsidP="00F337C8">
      <w:pPr>
        <w:pStyle w:val="GG-body"/>
        <w:rPr>
          <w:lang w:val="en-US"/>
        </w:rPr>
      </w:pPr>
    </w:p>
    <w:p w14:paraId="5AE0C889" w14:textId="77777777" w:rsidR="00F337C8" w:rsidRDefault="00F337C8" w:rsidP="00F337C8">
      <w:pPr>
        <w:pStyle w:val="GG-body"/>
        <w:rPr>
          <w:lang w:val="en-US"/>
        </w:rPr>
      </w:pPr>
    </w:p>
    <w:p w14:paraId="7C7A15AB" w14:textId="6FFFF555" w:rsidR="00D0446B" w:rsidRDefault="00D0446B" w:rsidP="00F337C8">
      <w:pPr>
        <w:pStyle w:val="GG-body"/>
      </w:pPr>
    </w:p>
    <w:p w14:paraId="350F2776" w14:textId="77777777" w:rsidR="00600138" w:rsidRDefault="00600138" w:rsidP="00F337C8">
      <w:pPr>
        <w:pStyle w:val="GG-body"/>
      </w:pPr>
    </w:p>
    <w:p w14:paraId="6CB3145C" w14:textId="77777777" w:rsidR="00600138" w:rsidRDefault="00600138" w:rsidP="00F337C8">
      <w:pPr>
        <w:pStyle w:val="GG-body"/>
      </w:pPr>
    </w:p>
    <w:p w14:paraId="636E7A69" w14:textId="77777777" w:rsidR="00600138" w:rsidRDefault="00600138" w:rsidP="00F337C8">
      <w:pPr>
        <w:pStyle w:val="GG-body"/>
      </w:pPr>
    </w:p>
    <w:p w14:paraId="5E3435AB" w14:textId="77777777" w:rsidR="00600138" w:rsidRDefault="00600138" w:rsidP="00F337C8">
      <w:pPr>
        <w:pStyle w:val="GG-body"/>
      </w:pPr>
    </w:p>
    <w:p w14:paraId="3EF7B63C" w14:textId="77777777" w:rsidR="00600138" w:rsidRDefault="00600138" w:rsidP="00F337C8">
      <w:pPr>
        <w:pStyle w:val="GG-body"/>
      </w:pPr>
    </w:p>
    <w:p w14:paraId="4895C585" w14:textId="77777777" w:rsidR="00600138" w:rsidRDefault="00600138" w:rsidP="00F337C8">
      <w:pPr>
        <w:pStyle w:val="GG-body"/>
      </w:pPr>
    </w:p>
    <w:p w14:paraId="602134C7" w14:textId="77777777" w:rsidR="00600138" w:rsidRDefault="00600138" w:rsidP="00F337C8">
      <w:pPr>
        <w:pStyle w:val="GG-body"/>
      </w:pPr>
    </w:p>
    <w:p w14:paraId="1A8D0323" w14:textId="77777777" w:rsidR="00600138" w:rsidRDefault="00600138" w:rsidP="00F337C8">
      <w:pPr>
        <w:pStyle w:val="GG-body"/>
      </w:pPr>
    </w:p>
    <w:p w14:paraId="4B50F006" w14:textId="77777777" w:rsidR="00600138" w:rsidRDefault="00600138" w:rsidP="00F337C8">
      <w:pPr>
        <w:pStyle w:val="GG-body"/>
      </w:pPr>
    </w:p>
    <w:p w14:paraId="6EE0EF1F" w14:textId="77777777" w:rsidR="00600138" w:rsidRDefault="00600138" w:rsidP="00F337C8">
      <w:pPr>
        <w:pStyle w:val="GG-body"/>
      </w:pPr>
    </w:p>
    <w:p w14:paraId="7D8D5090" w14:textId="77777777" w:rsidR="00600138" w:rsidRDefault="00600138" w:rsidP="00F337C8">
      <w:pPr>
        <w:pStyle w:val="GG-body"/>
      </w:pPr>
    </w:p>
    <w:p w14:paraId="2F675C64" w14:textId="77777777" w:rsidR="00600138" w:rsidRDefault="00600138" w:rsidP="00F337C8">
      <w:pPr>
        <w:pStyle w:val="GG-body"/>
      </w:pPr>
    </w:p>
    <w:p w14:paraId="3E18FF0C" w14:textId="77777777" w:rsidR="00600138" w:rsidRDefault="00600138" w:rsidP="00F337C8">
      <w:pPr>
        <w:pStyle w:val="GG-body"/>
      </w:pPr>
    </w:p>
    <w:p w14:paraId="13135985" w14:textId="77777777" w:rsidR="00600138" w:rsidRDefault="00600138" w:rsidP="00F337C8">
      <w:pPr>
        <w:pStyle w:val="GG-body"/>
      </w:pPr>
    </w:p>
    <w:p w14:paraId="7B38943B" w14:textId="77777777" w:rsidR="00600138" w:rsidRDefault="00600138" w:rsidP="00F337C8">
      <w:pPr>
        <w:pStyle w:val="GG-body"/>
      </w:pPr>
    </w:p>
    <w:p w14:paraId="729E4285" w14:textId="77777777" w:rsidR="00F337C8" w:rsidRDefault="00F337C8" w:rsidP="00F337C8">
      <w:pPr>
        <w:pStyle w:val="GG-body"/>
      </w:pPr>
    </w:p>
    <w:p w14:paraId="3C6ADCD5" w14:textId="77777777" w:rsidR="00F337C8" w:rsidRDefault="00F337C8" w:rsidP="00F337C8">
      <w:pPr>
        <w:pStyle w:val="GG-body"/>
      </w:pPr>
    </w:p>
    <w:p w14:paraId="6AA69C3C" w14:textId="77777777" w:rsidR="00F337C8" w:rsidRDefault="00F337C8" w:rsidP="00F337C8">
      <w:pPr>
        <w:pStyle w:val="GG-body"/>
      </w:pPr>
    </w:p>
    <w:p w14:paraId="5C3172EE" w14:textId="77777777" w:rsidR="0068523A" w:rsidRPr="0068523A" w:rsidRDefault="0068523A" w:rsidP="0068523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68523A">
        <w:rPr>
          <w:rFonts w:ascii="Times New Roman" w:eastAsia="Times New Roman" w:hAnsi="Times New Roman"/>
          <w:b/>
          <w:color w:val="000000"/>
          <w:sz w:val="20"/>
          <w:szCs w:val="20"/>
          <w:lang w:eastAsia="en-AU"/>
        </w:rPr>
        <w:t>All instruments appearing in this gazette are to be considered official, and obeyed as such</w:t>
      </w:r>
    </w:p>
    <w:p w14:paraId="7012EA53" w14:textId="77777777" w:rsidR="0068523A" w:rsidRPr="0068523A" w:rsidRDefault="0068523A" w:rsidP="0068523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0B47880" w14:textId="77777777" w:rsidR="0068523A" w:rsidRPr="0068523A" w:rsidRDefault="0068523A" w:rsidP="0068523A">
      <w:pPr>
        <w:tabs>
          <w:tab w:val="center" w:pos="4513"/>
          <w:tab w:val="right" w:pos="9026"/>
        </w:tabs>
        <w:spacing w:before="120" w:after="0"/>
        <w:jc w:val="center"/>
        <w:rPr>
          <w:rFonts w:ascii="Times New Roman" w:hAnsi="Times New Roman"/>
          <w:sz w:val="17"/>
          <w:szCs w:val="17"/>
        </w:rPr>
      </w:pPr>
      <w:r w:rsidRPr="0068523A">
        <w:rPr>
          <w:rFonts w:ascii="Times New Roman" w:hAnsi="Times New Roman"/>
          <w:sz w:val="17"/>
          <w:szCs w:val="17"/>
        </w:rPr>
        <w:t xml:space="preserve">Printed and published weekly by authority of </w:t>
      </w:r>
      <w:r w:rsidRPr="0068523A">
        <w:rPr>
          <w:rFonts w:ascii="Times New Roman" w:hAnsi="Times New Roman"/>
          <w:smallCaps/>
          <w:sz w:val="17"/>
          <w:szCs w:val="17"/>
        </w:rPr>
        <w:t>T. Foresto</w:t>
      </w:r>
      <w:r w:rsidRPr="0068523A">
        <w:rPr>
          <w:rFonts w:ascii="Times New Roman" w:hAnsi="Times New Roman"/>
          <w:sz w:val="17"/>
          <w:szCs w:val="17"/>
        </w:rPr>
        <w:t>, Government Printer, South Australia</w:t>
      </w:r>
    </w:p>
    <w:p w14:paraId="467F9433" w14:textId="77777777" w:rsidR="0068523A" w:rsidRPr="0068523A" w:rsidRDefault="0068523A" w:rsidP="0068523A">
      <w:pPr>
        <w:tabs>
          <w:tab w:val="center" w:pos="4513"/>
          <w:tab w:val="right" w:pos="9026"/>
        </w:tabs>
        <w:spacing w:after="0"/>
        <w:jc w:val="center"/>
        <w:rPr>
          <w:rFonts w:ascii="Times New Roman" w:hAnsi="Times New Roman"/>
          <w:sz w:val="17"/>
          <w:szCs w:val="17"/>
        </w:rPr>
      </w:pPr>
      <w:r w:rsidRPr="0068523A">
        <w:rPr>
          <w:rFonts w:ascii="Times New Roman" w:hAnsi="Times New Roman"/>
          <w:sz w:val="17"/>
          <w:szCs w:val="17"/>
        </w:rPr>
        <w:t>$9.50 per issue (plus postage), $479.00 per annual subscription—GST inclusive</w:t>
      </w:r>
    </w:p>
    <w:p w14:paraId="2765503B" w14:textId="77777777" w:rsidR="0068523A" w:rsidRPr="0068523A" w:rsidRDefault="0068523A" w:rsidP="0068523A">
      <w:pPr>
        <w:tabs>
          <w:tab w:val="center" w:pos="4513"/>
          <w:tab w:val="right" w:pos="9026"/>
        </w:tabs>
        <w:spacing w:after="0"/>
        <w:jc w:val="center"/>
        <w:rPr>
          <w:rFonts w:ascii="Times New Roman" w:hAnsi="Times New Roman"/>
          <w:sz w:val="17"/>
          <w:szCs w:val="17"/>
        </w:rPr>
      </w:pPr>
      <w:r w:rsidRPr="0068523A">
        <w:rPr>
          <w:rFonts w:ascii="Times New Roman" w:hAnsi="Times New Roman"/>
          <w:sz w:val="17"/>
          <w:szCs w:val="17"/>
        </w:rPr>
        <w:t xml:space="preserve">Online publications: </w:t>
      </w:r>
      <w:hyperlink r:id="rId22" w:history="1">
        <w:r w:rsidRPr="0068523A">
          <w:rPr>
            <w:rFonts w:ascii="Times New Roman" w:hAnsi="Times New Roman"/>
            <w:color w:val="0000FF"/>
            <w:sz w:val="17"/>
            <w:szCs w:val="17"/>
            <w:u w:val="single"/>
          </w:rPr>
          <w:t>www.governmentgazette.sa.gov.au</w:t>
        </w:r>
      </w:hyperlink>
      <w:r w:rsidRPr="0068523A">
        <w:rPr>
          <w:rFonts w:ascii="Times New Roman" w:hAnsi="Times New Roman"/>
          <w:sz w:val="17"/>
          <w:szCs w:val="17"/>
        </w:rPr>
        <w:t xml:space="preserve"> </w:t>
      </w:r>
    </w:p>
    <w:sectPr w:rsidR="0068523A" w:rsidRPr="0068523A" w:rsidSect="00FA2C89">
      <w:headerReference w:type="even" r:id="rId23"/>
      <w:headerReference w:type="default" r:id="rId24"/>
      <w:footerReference w:type="default" r:id="rId25"/>
      <w:pgSz w:w="11906" w:h="16838"/>
      <w:pgMar w:top="1674" w:right="1256" w:bottom="1134" w:left="1290" w:header="1134" w:footer="934" w:gutter="0"/>
      <w:pgNumType w:start="233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977F" w14:textId="77777777" w:rsidR="00AB13CD" w:rsidRDefault="00AB13CD" w:rsidP="00777F88">
      <w:pPr>
        <w:spacing w:after="0" w:line="240" w:lineRule="auto"/>
      </w:pPr>
      <w:r>
        <w:separator/>
      </w:r>
    </w:p>
  </w:endnote>
  <w:endnote w:type="continuationSeparator" w:id="0">
    <w:p w14:paraId="1DCE07C5" w14:textId="77777777" w:rsidR="00AB13CD" w:rsidRDefault="00AB13C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2B66"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1147" w14:textId="77777777" w:rsidR="0068523A" w:rsidRPr="0068523A" w:rsidRDefault="0068523A" w:rsidP="0068523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68523A">
      <w:rPr>
        <w:rFonts w:ascii="Times New Roman" w:eastAsia="Times New Roman" w:hAnsi="Times New Roman"/>
        <w:b/>
        <w:color w:val="000000"/>
        <w:sz w:val="20"/>
        <w:szCs w:val="20"/>
        <w:lang w:eastAsia="en-AU"/>
      </w:rPr>
      <w:t>All instruments appearing in this gazette are to be considered official, and obeyed as such</w:t>
    </w:r>
  </w:p>
  <w:p w14:paraId="36B489F7" w14:textId="77777777" w:rsidR="0068523A" w:rsidRPr="0068523A" w:rsidRDefault="0068523A" w:rsidP="0068523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71D92E9" w14:textId="77777777" w:rsidR="0068523A" w:rsidRPr="0068523A" w:rsidRDefault="0068523A" w:rsidP="0068523A">
    <w:pPr>
      <w:tabs>
        <w:tab w:val="center" w:pos="4513"/>
        <w:tab w:val="right" w:pos="9026"/>
      </w:tabs>
      <w:spacing w:before="120" w:after="0"/>
      <w:jc w:val="center"/>
      <w:rPr>
        <w:rFonts w:ascii="Times New Roman" w:hAnsi="Times New Roman"/>
        <w:sz w:val="17"/>
        <w:szCs w:val="17"/>
      </w:rPr>
    </w:pPr>
    <w:r w:rsidRPr="0068523A">
      <w:rPr>
        <w:rFonts w:ascii="Times New Roman" w:hAnsi="Times New Roman"/>
        <w:sz w:val="17"/>
        <w:szCs w:val="17"/>
      </w:rPr>
      <w:t xml:space="preserve">Printed and published weekly by authority of </w:t>
    </w:r>
    <w:r w:rsidRPr="0068523A">
      <w:rPr>
        <w:rFonts w:ascii="Times New Roman" w:hAnsi="Times New Roman"/>
        <w:smallCaps/>
        <w:sz w:val="17"/>
        <w:szCs w:val="17"/>
      </w:rPr>
      <w:t>T. Foresto</w:t>
    </w:r>
    <w:r w:rsidRPr="0068523A">
      <w:rPr>
        <w:rFonts w:ascii="Times New Roman" w:hAnsi="Times New Roman"/>
        <w:sz w:val="17"/>
        <w:szCs w:val="17"/>
      </w:rPr>
      <w:t>, Government Printer, South Australia</w:t>
    </w:r>
  </w:p>
  <w:p w14:paraId="5499C7BD" w14:textId="77777777" w:rsidR="0068523A" w:rsidRPr="0068523A" w:rsidRDefault="0068523A" w:rsidP="0068523A">
    <w:pPr>
      <w:tabs>
        <w:tab w:val="center" w:pos="4513"/>
        <w:tab w:val="right" w:pos="9026"/>
      </w:tabs>
      <w:spacing w:after="0"/>
      <w:jc w:val="center"/>
      <w:rPr>
        <w:rFonts w:ascii="Times New Roman" w:hAnsi="Times New Roman"/>
        <w:sz w:val="17"/>
        <w:szCs w:val="17"/>
      </w:rPr>
    </w:pPr>
    <w:r w:rsidRPr="0068523A">
      <w:rPr>
        <w:rFonts w:ascii="Times New Roman" w:hAnsi="Times New Roman"/>
        <w:sz w:val="17"/>
        <w:szCs w:val="17"/>
      </w:rPr>
      <w:t>$9.50 per issue (plus postage), $479.00 per annual subscription—GST inclusive</w:t>
    </w:r>
  </w:p>
  <w:p w14:paraId="2A90885C" w14:textId="77777777" w:rsidR="0068523A" w:rsidRPr="0068523A" w:rsidRDefault="0068523A" w:rsidP="0068523A">
    <w:pPr>
      <w:tabs>
        <w:tab w:val="center" w:pos="4513"/>
        <w:tab w:val="right" w:pos="9026"/>
      </w:tabs>
      <w:spacing w:after="0"/>
      <w:jc w:val="center"/>
      <w:rPr>
        <w:rFonts w:ascii="Times New Roman" w:hAnsi="Times New Roman"/>
        <w:sz w:val="17"/>
        <w:szCs w:val="17"/>
      </w:rPr>
    </w:pPr>
    <w:r w:rsidRPr="0068523A">
      <w:rPr>
        <w:rFonts w:ascii="Times New Roman" w:hAnsi="Times New Roman"/>
        <w:sz w:val="17"/>
        <w:szCs w:val="17"/>
      </w:rPr>
      <w:t xml:space="preserve">Online publications: </w:t>
    </w:r>
    <w:hyperlink r:id="rId1" w:history="1">
      <w:r w:rsidRPr="0068523A">
        <w:rPr>
          <w:rFonts w:ascii="Times New Roman" w:hAnsi="Times New Roman"/>
          <w:color w:val="0000FF"/>
          <w:sz w:val="17"/>
          <w:szCs w:val="17"/>
          <w:u w:val="single"/>
        </w:rPr>
        <w:t>www.governmentgazette.sa.gov.au</w:t>
      </w:r>
    </w:hyperlink>
    <w:r w:rsidRPr="0068523A">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E9E8"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3BA9"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33F38AED"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1257958"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35ACF73E"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4795C9EF"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AA79"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1ABA4" w14:textId="77777777" w:rsidR="00AB13CD" w:rsidRDefault="00AB13CD" w:rsidP="00777F88">
      <w:pPr>
        <w:spacing w:after="0" w:line="240" w:lineRule="auto"/>
      </w:pPr>
      <w:r>
        <w:separator/>
      </w:r>
    </w:p>
  </w:footnote>
  <w:footnote w:type="continuationSeparator" w:id="0">
    <w:p w14:paraId="724F1D23" w14:textId="77777777" w:rsidR="00AB13CD" w:rsidRDefault="00AB13CD"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A67E"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4D0333F9" wp14:editId="0EEDC30F">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F0D93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0333F9"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1F0D93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6CC2424"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0933001"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6556"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5260C3A1" wp14:editId="653DE5A2">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9436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60C3A1"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CA9436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569F" w14:textId="007051C2"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AB13CD">
      <w:rPr>
        <w:rFonts w:ascii="Times New Roman" w:hAnsi="Times New Roman"/>
        <w:sz w:val="21"/>
        <w:szCs w:val="21"/>
      </w:rPr>
      <w:t>37</w:t>
    </w:r>
    <w:r w:rsidRPr="00612978">
      <w:rPr>
        <w:rFonts w:ascii="Times New Roman" w:hAnsi="Times New Roman"/>
        <w:sz w:val="21"/>
        <w:szCs w:val="21"/>
      </w:rPr>
      <w:tab/>
    </w:r>
    <w:r>
      <w:rPr>
        <w:rFonts w:ascii="Times New Roman" w:hAnsi="Times New Roman"/>
        <w:sz w:val="21"/>
        <w:szCs w:val="21"/>
      </w:rPr>
      <w:t xml:space="preserve">p. </w:t>
    </w:r>
    <w:r w:rsidR="00FA2C89">
      <w:rPr>
        <w:rFonts w:ascii="Times New Roman" w:hAnsi="Times New Roman"/>
        <w:sz w:val="21"/>
        <w:szCs w:val="21"/>
      </w:rPr>
      <w:t>2331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225FA"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3A47AC9B"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AB58668"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02EC"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129F5225" wp14:editId="051F0433">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537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9F5225"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4F33537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14929" w14:textId="597A0AE9"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AB13CD">
      <w:rPr>
        <w:rStyle w:val="PageNumber"/>
        <w:rFonts w:ascii="Times New Roman" w:hAnsi="Times New Roman"/>
        <w:sz w:val="21"/>
        <w:szCs w:val="21"/>
      </w:rPr>
      <w:t>37</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AB13CD">
      <w:rPr>
        <w:rStyle w:val="PageNumber"/>
        <w:rFonts w:ascii="Times New Roman" w:hAnsi="Times New Roman"/>
        <w:sz w:val="21"/>
        <w:szCs w:val="21"/>
      </w:rPr>
      <w:t>1</w:t>
    </w:r>
    <w:r w:rsidRPr="00552C29">
      <w:rPr>
        <w:rStyle w:val="PageNumber"/>
        <w:rFonts w:ascii="Times New Roman" w:hAnsi="Times New Roman"/>
        <w:sz w:val="21"/>
        <w:szCs w:val="21"/>
      </w:rPr>
      <w:t xml:space="preserve"> </w:t>
    </w:r>
    <w:r w:rsidR="00AB13CD">
      <w:rPr>
        <w:rStyle w:val="PageNumber"/>
        <w:rFonts w:ascii="Times New Roman" w:hAnsi="Times New Roman"/>
        <w:sz w:val="21"/>
        <w:szCs w:val="21"/>
      </w:rPr>
      <w:t>July</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AB13CD">
      <w:rPr>
        <w:rFonts w:ascii="Times New Roman" w:hAnsi="Times New Roman"/>
        <w:sz w:val="21"/>
        <w:szCs w:val="21"/>
      </w:rPr>
      <w:t>25</w:t>
    </w:r>
  </w:p>
  <w:p w14:paraId="1900A66E"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0A9A" w14:textId="400182FC" w:rsidR="00632170" w:rsidRPr="00552C29" w:rsidRDefault="00AB13CD"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w:t>
    </w:r>
    <w:r w:rsidR="00632170" w:rsidRPr="00552C29">
      <w:rPr>
        <w:rStyle w:val="PageNumber"/>
        <w:rFonts w:ascii="Times New Roman" w:hAnsi="Times New Roman"/>
        <w:sz w:val="21"/>
        <w:szCs w:val="21"/>
      </w:rPr>
      <w:t xml:space="preserve"> </w:t>
    </w:r>
    <w:r>
      <w:rPr>
        <w:rStyle w:val="PageNumber"/>
        <w:rFonts w:ascii="Times New Roman" w:hAnsi="Times New Roman"/>
        <w:sz w:val="21"/>
        <w:szCs w:val="21"/>
      </w:rPr>
      <w:t>July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Pr>
        <w:rFonts w:ascii="Times New Roman" w:hAnsi="Times New Roman"/>
        <w:sz w:val="21"/>
        <w:szCs w:val="21"/>
      </w:rPr>
      <w:t>25</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37</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1A08FEE"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61B08"/>
    <w:multiLevelType w:val="hybridMultilevel"/>
    <w:tmpl w:val="2A0C6334"/>
    <w:lvl w:ilvl="0" w:tplc="507880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942694"/>
    <w:multiLevelType w:val="hybridMultilevel"/>
    <w:tmpl w:val="F14EC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3"/>
  </w:num>
  <w:num w:numId="2" w16cid:durableId="2011759198">
    <w:abstractNumId w:val="4"/>
  </w:num>
  <w:num w:numId="3" w16cid:durableId="734932215">
    <w:abstractNumId w:val="2"/>
  </w:num>
  <w:num w:numId="4" w16cid:durableId="49311150">
    <w:abstractNumId w:val="1"/>
  </w:num>
  <w:num w:numId="5" w16cid:durableId="95237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attachedTemplate r:id="rId1"/>
  <w:defaultTabStop w:val="159"/>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CD"/>
    <w:rsid w:val="000100A7"/>
    <w:rsid w:val="0002084B"/>
    <w:rsid w:val="0002085F"/>
    <w:rsid w:val="00050A2F"/>
    <w:rsid w:val="00052F1A"/>
    <w:rsid w:val="000620AF"/>
    <w:rsid w:val="00063D6D"/>
    <w:rsid w:val="00070E37"/>
    <w:rsid w:val="00071B27"/>
    <w:rsid w:val="00081074"/>
    <w:rsid w:val="000B0640"/>
    <w:rsid w:val="000B3572"/>
    <w:rsid w:val="000D34A3"/>
    <w:rsid w:val="000E2F18"/>
    <w:rsid w:val="000E45A0"/>
    <w:rsid w:val="000E655C"/>
    <w:rsid w:val="000F0B45"/>
    <w:rsid w:val="000F2CEA"/>
    <w:rsid w:val="000F2DFC"/>
    <w:rsid w:val="00111C2E"/>
    <w:rsid w:val="00124474"/>
    <w:rsid w:val="00132111"/>
    <w:rsid w:val="00147592"/>
    <w:rsid w:val="00153708"/>
    <w:rsid w:val="00153834"/>
    <w:rsid w:val="001572AD"/>
    <w:rsid w:val="001576DB"/>
    <w:rsid w:val="00160CDB"/>
    <w:rsid w:val="00180625"/>
    <w:rsid w:val="00187DCB"/>
    <w:rsid w:val="0019539C"/>
    <w:rsid w:val="00196D44"/>
    <w:rsid w:val="001A1D25"/>
    <w:rsid w:val="001B7138"/>
    <w:rsid w:val="001C09DA"/>
    <w:rsid w:val="00204C2A"/>
    <w:rsid w:val="00214B74"/>
    <w:rsid w:val="0022033A"/>
    <w:rsid w:val="0025471C"/>
    <w:rsid w:val="0027531F"/>
    <w:rsid w:val="0028270F"/>
    <w:rsid w:val="0029410F"/>
    <w:rsid w:val="002977EE"/>
    <w:rsid w:val="002A359E"/>
    <w:rsid w:val="002A4530"/>
    <w:rsid w:val="002C2B7C"/>
    <w:rsid w:val="002C2E97"/>
    <w:rsid w:val="002D4754"/>
    <w:rsid w:val="00301E5B"/>
    <w:rsid w:val="0034074D"/>
    <w:rsid w:val="00362C85"/>
    <w:rsid w:val="00372CA3"/>
    <w:rsid w:val="00394729"/>
    <w:rsid w:val="003967FE"/>
    <w:rsid w:val="003D2332"/>
    <w:rsid w:val="003E2D5B"/>
    <w:rsid w:val="003E3565"/>
    <w:rsid w:val="003F4C5A"/>
    <w:rsid w:val="00415C6A"/>
    <w:rsid w:val="00421804"/>
    <w:rsid w:val="0042678B"/>
    <w:rsid w:val="0043387B"/>
    <w:rsid w:val="00435ECE"/>
    <w:rsid w:val="00437849"/>
    <w:rsid w:val="004411A6"/>
    <w:rsid w:val="0044383E"/>
    <w:rsid w:val="004535E8"/>
    <w:rsid w:val="004872C1"/>
    <w:rsid w:val="004A16B7"/>
    <w:rsid w:val="004A68F5"/>
    <w:rsid w:val="004B1B9B"/>
    <w:rsid w:val="004D22EB"/>
    <w:rsid w:val="004E4BBC"/>
    <w:rsid w:val="004E545F"/>
    <w:rsid w:val="005115D3"/>
    <w:rsid w:val="00531F7A"/>
    <w:rsid w:val="00532593"/>
    <w:rsid w:val="00541253"/>
    <w:rsid w:val="0054338C"/>
    <w:rsid w:val="00555C1B"/>
    <w:rsid w:val="0056509D"/>
    <w:rsid w:val="00567B3E"/>
    <w:rsid w:val="00567C03"/>
    <w:rsid w:val="00571C05"/>
    <w:rsid w:val="00575614"/>
    <w:rsid w:val="00582BEE"/>
    <w:rsid w:val="005A3A1B"/>
    <w:rsid w:val="005B4E55"/>
    <w:rsid w:val="005B69B3"/>
    <w:rsid w:val="005C1663"/>
    <w:rsid w:val="005C6C9D"/>
    <w:rsid w:val="005D24AC"/>
    <w:rsid w:val="005E3033"/>
    <w:rsid w:val="005E7D95"/>
    <w:rsid w:val="005F4618"/>
    <w:rsid w:val="005F5395"/>
    <w:rsid w:val="005F5CEC"/>
    <w:rsid w:val="00600138"/>
    <w:rsid w:val="00612978"/>
    <w:rsid w:val="006312F0"/>
    <w:rsid w:val="00632170"/>
    <w:rsid w:val="0065287D"/>
    <w:rsid w:val="00665367"/>
    <w:rsid w:val="0068145F"/>
    <w:rsid w:val="0068523A"/>
    <w:rsid w:val="00693DF1"/>
    <w:rsid w:val="006B561D"/>
    <w:rsid w:val="006B5B96"/>
    <w:rsid w:val="006C2F10"/>
    <w:rsid w:val="006E0C7D"/>
    <w:rsid w:val="006E1DBF"/>
    <w:rsid w:val="006E60D6"/>
    <w:rsid w:val="00703D70"/>
    <w:rsid w:val="00720680"/>
    <w:rsid w:val="007529D9"/>
    <w:rsid w:val="00777F88"/>
    <w:rsid w:val="007C2CBC"/>
    <w:rsid w:val="007C302D"/>
    <w:rsid w:val="007E60AA"/>
    <w:rsid w:val="0080019C"/>
    <w:rsid w:val="008008DD"/>
    <w:rsid w:val="00802490"/>
    <w:rsid w:val="00842BD5"/>
    <w:rsid w:val="00854962"/>
    <w:rsid w:val="00856E06"/>
    <w:rsid w:val="00867EF2"/>
    <w:rsid w:val="00870E1F"/>
    <w:rsid w:val="0087319A"/>
    <w:rsid w:val="00873673"/>
    <w:rsid w:val="008A031C"/>
    <w:rsid w:val="0090148E"/>
    <w:rsid w:val="0090520A"/>
    <w:rsid w:val="0091307A"/>
    <w:rsid w:val="00914649"/>
    <w:rsid w:val="0093079E"/>
    <w:rsid w:val="009369DD"/>
    <w:rsid w:val="00947809"/>
    <w:rsid w:val="00976B93"/>
    <w:rsid w:val="00977C9F"/>
    <w:rsid w:val="00984CDD"/>
    <w:rsid w:val="009A2E93"/>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B13CD"/>
    <w:rsid w:val="00AC08D6"/>
    <w:rsid w:val="00AC18FD"/>
    <w:rsid w:val="00AC22E7"/>
    <w:rsid w:val="00AC2B24"/>
    <w:rsid w:val="00AC3762"/>
    <w:rsid w:val="00AC385D"/>
    <w:rsid w:val="00AF68F7"/>
    <w:rsid w:val="00B06F6D"/>
    <w:rsid w:val="00B07083"/>
    <w:rsid w:val="00B106D4"/>
    <w:rsid w:val="00B152A8"/>
    <w:rsid w:val="00B22E26"/>
    <w:rsid w:val="00B52E4B"/>
    <w:rsid w:val="00B53F6A"/>
    <w:rsid w:val="00B67220"/>
    <w:rsid w:val="00B74342"/>
    <w:rsid w:val="00B8243A"/>
    <w:rsid w:val="00BC4D92"/>
    <w:rsid w:val="00BE137F"/>
    <w:rsid w:val="00BE59CC"/>
    <w:rsid w:val="00BF1895"/>
    <w:rsid w:val="00BF6670"/>
    <w:rsid w:val="00C00001"/>
    <w:rsid w:val="00C032B2"/>
    <w:rsid w:val="00C176CC"/>
    <w:rsid w:val="00C33D60"/>
    <w:rsid w:val="00C67086"/>
    <w:rsid w:val="00C82209"/>
    <w:rsid w:val="00C971BF"/>
    <w:rsid w:val="00CA3FD7"/>
    <w:rsid w:val="00CD101D"/>
    <w:rsid w:val="00CD460E"/>
    <w:rsid w:val="00D00277"/>
    <w:rsid w:val="00D0446B"/>
    <w:rsid w:val="00D1369D"/>
    <w:rsid w:val="00D14F34"/>
    <w:rsid w:val="00D15B81"/>
    <w:rsid w:val="00D23AB5"/>
    <w:rsid w:val="00D35BBC"/>
    <w:rsid w:val="00D83C2C"/>
    <w:rsid w:val="00D949EA"/>
    <w:rsid w:val="00D951C9"/>
    <w:rsid w:val="00DA30CF"/>
    <w:rsid w:val="00DA6921"/>
    <w:rsid w:val="00DB5A8F"/>
    <w:rsid w:val="00DE347D"/>
    <w:rsid w:val="00DF632D"/>
    <w:rsid w:val="00E02241"/>
    <w:rsid w:val="00E21999"/>
    <w:rsid w:val="00E222C6"/>
    <w:rsid w:val="00E24C16"/>
    <w:rsid w:val="00E36C01"/>
    <w:rsid w:val="00E4712A"/>
    <w:rsid w:val="00E57D4E"/>
    <w:rsid w:val="00E663DF"/>
    <w:rsid w:val="00E92649"/>
    <w:rsid w:val="00EA0D33"/>
    <w:rsid w:val="00EC2419"/>
    <w:rsid w:val="00ED024C"/>
    <w:rsid w:val="00ED124F"/>
    <w:rsid w:val="00EE2A33"/>
    <w:rsid w:val="00EE7338"/>
    <w:rsid w:val="00F011AF"/>
    <w:rsid w:val="00F12687"/>
    <w:rsid w:val="00F13DC8"/>
    <w:rsid w:val="00F16F9B"/>
    <w:rsid w:val="00F22072"/>
    <w:rsid w:val="00F337C8"/>
    <w:rsid w:val="00F33B60"/>
    <w:rsid w:val="00F445EE"/>
    <w:rsid w:val="00F657AB"/>
    <w:rsid w:val="00F8336F"/>
    <w:rsid w:val="00F84DBC"/>
    <w:rsid w:val="00FA01B5"/>
    <w:rsid w:val="00FA2C89"/>
    <w:rsid w:val="00FB374C"/>
    <w:rsid w:val="00FB48A8"/>
    <w:rsid w:val="00FB5F67"/>
    <w:rsid w:val="00FD5A99"/>
    <w:rsid w:val="00FE3648"/>
    <w:rsid w:val="00FE60C0"/>
    <w:rsid w:val="00FF189D"/>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5C56B"/>
  <w15:chartTrackingRefBased/>
  <w15:docId w15:val="{2C5A5F19-B73E-4969-B584-F840529D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2A359E"/>
    <w:pPr>
      <w:keepLines/>
      <w:autoSpaceDE w:val="0"/>
      <w:autoSpaceDN w:val="0"/>
      <w:adjustRightInd w:val="0"/>
      <w:spacing w:before="120" w:after="200" w:line="240" w:lineRule="auto"/>
      <w:jc w:val="left"/>
      <w:outlineLvl w:val="2"/>
    </w:pPr>
    <w:rPr>
      <w:rFonts w:ascii="Times New Roman" w:hAnsi="Times New Roman"/>
      <w:b/>
      <w:bCs/>
      <w:color w:val="000000"/>
      <w:sz w:val="36"/>
      <w:szCs w:val="36"/>
      <w:lang w:eastAsia="en-AU"/>
    </w:rPr>
  </w:style>
  <w:style w:type="paragraph" w:styleId="Heading4">
    <w:name w:val="heading 4"/>
    <w:basedOn w:val="Normal"/>
    <w:next w:val="Normal"/>
    <w:link w:val="Heading4Char"/>
    <w:uiPriority w:val="9"/>
    <w:semiHidden/>
    <w:unhideWhenUsed/>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2A359E"/>
    <w:rPr>
      <w:rFonts w:ascii="Times New Roman" w:hAnsi="Times New Roman"/>
      <w:b/>
      <w:bCs/>
      <w:color w:val="000000"/>
      <w:sz w:val="36"/>
      <w:szCs w:val="36"/>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NoSpace">
    <w:name w:val="NoSpace"/>
    <w:link w:val="NoSpaceChar"/>
    <w:qFormat/>
    <w:rsid w:val="00D00277"/>
    <w:pPr>
      <w:spacing w:line="170" w:lineRule="exact"/>
      <w:jc w:val="both"/>
    </w:pPr>
    <w:rPr>
      <w:rFonts w:ascii="Times New Roman" w:eastAsia="Times New Roman" w:hAnsi="Times New Roman"/>
      <w:sz w:val="17"/>
    </w:rPr>
  </w:style>
  <w:style w:type="character" w:customStyle="1" w:styleId="NoSpaceChar">
    <w:name w:val="NoSpace Char"/>
    <w:link w:val="NoSpace"/>
    <w:rsid w:val="00D00277"/>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NoSpace"/>
    <w:link w:val="GG-Bullets2Char"/>
    <w:rsid w:val="00081074"/>
    <w:pPr>
      <w:numPr>
        <w:numId w:val="2"/>
      </w:numPr>
      <w:tabs>
        <w:tab w:val="left" w:pos="1134"/>
      </w:tabs>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 w:type="table" w:styleId="TableGrid">
    <w:name w:val="Table Grid"/>
    <w:basedOn w:val="TableNormal"/>
    <w:uiPriority w:val="59"/>
    <w:rsid w:val="00E24C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0829">
      <w:bodyDiv w:val="1"/>
      <w:marLeft w:val="0"/>
      <w:marRight w:val="0"/>
      <w:marTop w:val="0"/>
      <w:marBottom w:val="0"/>
      <w:divBdr>
        <w:top w:val="none" w:sz="0" w:space="0" w:color="auto"/>
        <w:left w:val="none" w:sz="0" w:space="0" w:color="auto"/>
        <w:bottom w:val="none" w:sz="0" w:space="0" w:color="auto"/>
        <w:right w:val="none" w:sz="0" w:space="0" w:color="auto"/>
      </w:divBdr>
    </w:div>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026715752">
      <w:bodyDiv w:val="1"/>
      <w:marLeft w:val="0"/>
      <w:marRight w:val="0"/>
      <w:marTop w:val="0"/>
      <w:marBottom w:val="0"/>
      <w:divBdr>
        <w:top w:val="none" w:sz="0" w:space="0" w:color="auto"/>
        <w:left w:val="none" w:sz="0" w:space="0" w:color="auto"/>
        <w:bottom w:val="none" w:sz="0" w:space="0" w:color="auto"/>
        <w:right w:val="none" w:sz="0" w:space="0" w:color="auto"/>
      </w:divBdr>
    </w:div>
    <w:div w:id="1230262966">
      <w:bodyDiv w:val="1"/>
      <w:marLeft w:val="0"/>
      <w:marRight w:val="0"/>
      <w:marTop w:val="0"/>
      <w:marBottom w:val="0"/>
      <w:divBdr>
        <w:top w:val="none" w:sz="0" w:space="0" w:color="auto"/>
        <w:left w:val="none" w:sz="0" w:space="0" w:color="auto"/>
        <w:bottom w:val="none" w:sz="0" w:space="0" w:color="auto"/>
        <w:right w:val="none" w:sz="0" w:space="0" w:color="auto"/>
      </w:divBdr>
    </w:div>
    <w:div w:id="1669018354">
      <w:bodyDiv w:val="1"/>
      <w:marLeft w:val="0"/>
      <w:marRight w:val="0"/>
      <w:marTop w:val="0"/>
      <w:marBottom w:val="0"/>
      <w:divBdr>
        <w:top w:val="none" w:sz="0" w:space="0" w:color="auto"/>
        <w:left w:val="none" w:sz="0" w:space="0" w:color="auto"/>
        <w:bottom w:val="none" w:sz="0" w:space="0" w:color="auto"/>
        <w:right w:val="none" w:sz="0" w:space="0" w:color="auto"/>
      </w:divBdr>
    </w:div>
    <w:div w:id="1806314346">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 w:id="19148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PIRSA.FisheriesOperationalManagement@sa.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n.emmett@s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IRSA.FisheriesOperationalManagement@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mailto:PIRSA.FisheriesOperationalManagement@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governmentgazette.sa.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Template>
  <TotalTime>10</TotalTime>
  <Pages>7</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No. 37 - Tuesday, 1 July 2025 (pp. 2331–2334)</vt:lpstr>
    </vt:vector>
  </TitlesOfParts>
  <Company>SA Government</Company>
  <LinksUpToDate>false</LinksUpToDate>
  <CharactersWithSpaces>28228</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37 - Tuesday, 1 July 2025 (pp. 2331–2337)</dc:title>
  <dc:subject/>
  <dc:creator>Alicia Wheaton</dc:creator>
  <cp:keywords/>
  <cp:lastModifiedBy>Wheaton, Alicia (Service SA)</cp:lastModifiedBy>
  <cp:revision>22</cp:revision>
  <cp:lastPrinted>2017-03-20T23:21:00Z</cp:lastPrinted>
  <dcterms:created xsi:type="dcterms:W3CDTF">2025-06-27T09:08:00Z</dcterms:created>
  <dcterms:modified xsi:type="dcterms:W3CDTF">2025-07-01T06:54:00Z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