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997A6" w14:textId="1962D2F7"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261A47D3" wp14:editId="59422F69">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7B1CFA">
        <w:rPr>
          <w:rStyle w:val="StyleTimesNewRoman105pt"/>
        </w:rPr>
        <w:t>12</w:t>
      </w:r>
      <w:r w:rsidRPr="007A0461">
        <w:rPr>
          <w:rStyle w:val="StyleTimesNewRoman105pt"/>
        </w:rPr>
        <w:tab/>
        <w:t xml:space="preserve">p. </w:t>
      </w:r>
      <w:r w:rsidR="007B1CFA">
        <w:rPr>
          <w:rStyle w:val="StyleTimesNewRoman105pt"/>
        </w:rPr>
        <w:t>223</w:t>
      </w:r>
    </w:p>
    <w:p w14:paraId="436BB045"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15560F4D"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2195B459"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073476BA" w14:textId="77777777" w:rsidR="00EB5C72" w:rsidRPr="003471CD" w:rsidRDefault="00EB5C72" w:rsidP="00EB5C72">
      <w:pPr>
        <w:pBdr>
          <w:top w:val="single" w:sz="6" w:space="0" w:color="auto"/>
        </w:pBdr>
        <w:spacing w:after="0" w:line="240" w:lineRule="auto"/>
        <w:jc w:val="center"/>
        <w:rPr>
          <w:color w:val="000000"/>
          <w:sz w:val="20"/>
        </w:rPr>
      </w:pPr>
    </w:p>
    <w:p w14:paraId="02BB807C" w14:textId="5CC56650"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7B1CFA">
        <w:rPr>
          <w:smallCaps/>
          <w:color w:val="000000"/>
          <w:sz w:val="28"/>
          <w:szCs w:val="26"/>
        </w:rPr>
        <w:t>27</w:t>
      </w:r>
      <w:r>
        <w:rPr>
          <w:smallCaps/>
          <w:color w:val="000000"/>
          <w:sz w:val="28"/>
          <w:szCs w:val="26"/>
        </w:rPr>
        <w:t xml:space="preserve"> </w:t>
      </w:r>
      <w:r w:rsidR="007B1CFA">
        <w:rPr>
          <w:smallCaps/>
          <w:color w:val="000000"/>
          <w:sz w:val="28"/>
          <w:szCs w:val="26"/>
        </w:rPr>
        <w:t>February</w:t>
      </w:r>
      <w:r w:rsidRPr="003471CD">
        <w:rPr>
          <w:smallCaps/>
          <w:color w:val="000000"/>
          <w:sz w:val="28"/>
          <w:szCs w:val="26"/>
        </w:rPr>
        <w:t xml:space="preserve"> 202</w:t>
      </w:r>
      <w:r w:rsidR="007B1CFA">
        <w:rPr>
          <w:smallCaps/>
          <w:color w:val="000000"/>
          <w:sz w:val="28"/>
          <w:szCs w:val="26"/>
        </w:rPr>
        <w:t>5</w:t>
      </w:r>
    </w:p>
    <w:p w14:paraId="6E3CD063" w14:textId="77777777" w:rsidR="00EB5C72" w:rsidRPr="003471CD" w:rsidRDefault="00EB5C72" w:rsidP="00EB5C72">
      <w:pPr>
        <w:spacing w:after="0" w:line="240" w:lineRule="exact"/>
        <w:jc w:val="center"/>
        <w:rPr>
          <w:color w:val="000000"/>
          <w:sz w:val="20"/>
        </w:rPr>
      </w:pPr>
    </w:p>
    <w:p w14:paraId="2E1360C7" w14:textId="77777777" w:rsidR="008008DD" w:rsidRPr="00612978" w:rsidRDefault="008008DD" w:rsidP="008008DD">
      <w:pPr>
        <w:pBdr>
          <w:top w:val="single" w:sz="6" w:space="1" w:color="auto"/>
        </w:pBdr>
        <w:spacing w:after="0" w:line="360" w:lineRule="exact"/>
        <w:jc w:val="center"/>
        <w:rPr>
          <w:color w:val="000000"/>
          <w:sz w:val="20"/>
          <w:szCs w:val="20"/>
        </w:rPr>
      </w:pPr>
    </w:p>
    <w:p w14:paraId="3874719C"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663733CE" w14:textId="77777777" w:rsidR="001B7138" w:rsidRPr="008008DD" w:rsidRDefault="001B7138" w:rsidP="002425EF">
      <w:pPr>
        <w:spacing w:after="0" w:line="200" w:lineRule="exact"/>
        <w:jc w:val="center"/>
        <w:rPr>
          <w:b/>
          <w:smallCaps/>
          <w:sz w:val="20"/>
          <w:szCs w:val="20"/>
        </w:rPr>
      </w:pPr>
    </w:p>
    <w:p w14:paraId="6ECB4046"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2DD62C54" w14:textId="4E813CEE" w:rsidR="00DB6374" w:rsidRDefault="00B1073C" w:rsidP="00DB6374">
      <w:pPr>
        <w:pStyle w:val="TOC1"/>
        <w:spacing w:before="0"/>
        <w:rPr>
          <w:rFonts w:asciiTheme="minorHAnsi" w:eastAsiaTheme="minorEastAsia" w:hAnsiTheme="minorHAnsi" w:cstheme="minorBidi"/>
          <w:color w:val="auto"/>
          <w:kern w:val="2"/>
          <w:sz w:val="24"/>
          <w:szCs w:val="24"/>
          <w14:ligatures w14:val="standardContextual"/>
        </w:rPr>
      </w:pPr>
      <w:r w:rsidRPr="00B1073C">
        <w:fldChar w:fldCharType="begin"/>
      </w:r>
      <w:r w:rsidRPr="00B1073C">
        <w:instrText xml:space="preserve"> TOC \o "1-3" \h \z \u </w:instrText>
      </w:r>
      <w:r w:rsidRPr="00B1073C">
        <w:fldChar w:fldCharType="separate"/>
      </w:r>
      <w:hyperlink w:anchor="_Toc191542969" w:history="1">
        <w:r w:rsidR="00DB6374" w:rsidRPr="004011A2">
          <w:rPr>
            <w:rStyle w:val="Hyperlink"/>
          </w:rPr>
          <w:t>Governor’s Instruments</w:t>
        </w:r>
      </w:hyperlink>
    </w:p>
    <w:p w14:paraId="0C6F6D8F" w14:textId="02F7885C" w:rsidR="00DB6374" w:rsidRDefault="00DB6374" w:rsidP="00DB6374">
      <w:pPr>
        <w:pStyle w:val="TOC2"/>
        <w:tabs>
          <w:tab w:val="right" w:leader="dot" w:pos="4524"/>
        </w:tabs>
        <w:rPr>
          <w:rFonts w:asciiTheme="minorHAnsi" w:eastAsiaTheme="minorEastAsia" w:hAnsiTheme="minorHAnsi" w:cstheme="minorBidi"/>
          <w:noProof/>
          <w:color w:val="auto"/>
          <w:kern w:val="2"/>
          <w:sz w:val="24"/>
          <w:szCs w:val="24"/>
          <w14:ligatures w14:val="standardContextual"/>
        </w:rPr>
      </w:pPr>
      <w:hyperlink w:anchor="_Toc191542970" w:history="1">
        <w:r w:rsidRPr="004011A2">
          <w:rPr>
            <w:rStyle w:val="Hyperlink"/>
            <w:noProof/>
          </w:rPr>
          <w:t>Acts</w:t>
        </w:r>
        <w:r>
          <w:rPr>
            <w:noProof/>
            <w:webHidden/>
          </w:rPr>
          <w:tab/>
        </w:r>
        <w:r>
          <w:rPr>
            <w:noProof/>
            <w:webHidden/>
          </w:rPr>
          <w:fldChar w:fldCharType="begin"/>
        </w:r>
        <w:r>
          <w:rPr>
            <w:noProof/>
            <w:webHidden/>
          </w:rPr>
          <w:instrText xml:space="preserve"> PAGEREF _Toc191542970 \h </w:instrText>
        </w:r>
        <w:r>
          <w:rPr>
            <w:noProof/>
            <w:webHidden/>
          </w:rPr>
        </w:r>
        <w:r>
          <w:rPr>
            <w:noProof/>
            <w:webHidden/>
          </w:rPr>
          <w:fldChar w:fldCharType="separate"/>
        </w:r>
        <w:r w:rsidR="00CA615B">
          <w:rPr>
            <w:noProof/>
            <w:webHidden/>
          </w:rPr>
          <w:t>224</w:t>
        </w:r>
        <w:r>
          <w:rPr>
            <w:noProof/>
            <w:webHidden/>
          </w:rPr>
          <w:fldChar w:fldCharType="end"/>
        </w:r>
      </w:hyperlink>
    </w:p>
    <w:p w14:paraId="29CAAEAA" w14:textId="6DAE0626" w:rsidR="00DB6374" w:rsidRDefault="00DB6374" w:rsidP="00DB6374">
      <w:pPr>
        <w:pStyle w:val="TOC2"/>
        <w:tabs>
          <w:tab w:val="right" w:leader="dot" w:pos="4524"/>
        </w:tabs>
        <w:rPr>
          <w:rFonts w:asciiTheme="minorHAnsi" w:eastAsiaTheme="minorEastAsia" w:hAnsiTheme="minorHAnsi" w:cstheme="minorBidi"/>
          <w:noProof/>
          <w:color w:val="auto"/>
          <w:kern w:val="2"/>
          <w:sz w:val="24"/>
          <w:szCs w:val="24"/>
          <w14:ligatures w14:val="standardContextual"/>
        </w:rPr>
      </w:pPr>
      <w:hyperlink w:anchor="_Toc191542971" w:history="1">
        <w:r w:rsidRPr="004011A2">
          <w:rPr>
            <w:rStyle w:val="Hyperlink"/>
            <w:noProof/>
          </w:rPr>
          <w:t>Appointments, Resignations and General Matters</w:t>
        </w:r>
        <w:r>
          <w:rPr>
            <w:noProof/>
            <w:webHidden/>
          </w:rPr>
          <w:tab/>
        </w:r>
        <w:r>
          <w:rPr>
            <w:noProof/>
            <w:webHidden/>
          </w:rPr>
          <w:fldChar w:fldCharType="begin"/>
        </w:r>
        <w:r>
          <w:rPr>
            <w:noProof/>
            <w:webHidden/>
          </w:rPr>
          <w:instrText xml:space="preserve"> PAGEREF _Toc191542971 \h </w:instrText>
        </w:r>
        <w:r>
          <w:rPr>
            <w:noProof/>
            <w:webHidden/>
          </w:rPr>
        </w:r>
        <w:r>
          <w:rPr>
            <w:noProof/>
            <w:webHidden/>
          </w:rPr>
          <w:fldChar w:fldCharType="separate"/>
        </w:r>
        <w:r w:rsidR="00CA615B">
          <w:rPr>
            <w:noProof/>
            <w:webHidden/>
          </w:rPr>
          <w:t>224</w:t>
        </w:r>
        <w:r>
          <w:rPr>
            <w:noProof/>
            <w:webHidden/>
          </w:rPr>
          <w:fldChar w:fldCharType="end"/>
        </w:r>
      </w:hyperlink>
    </w:p>
    <w:p w14:paraId="5F9B6D92" w14:textId="1081BA6F" w:rsidR="00DB6374" w:rsidRDefault="00DB6374" w:rsidP="00DB6374">
      <w:pPr>
        <w:pStyle w:val="TOC2"/>
        <w:tabs>
          <w:tab w:val="right" w:leader="dot" w:pos="4524"/>
        </w:tabs>
        <w:rPr>
          <w:rFonts w:asciiTheme="minorHAnsi" w:eastAsiaTheme="minorEastAsia" w:hAnsiTheme="minorHAnsi" w:cstheme="minorBidi"/>
          <w:noProof/>
          <w:color w:val="auto"/>
          <w:kern w:val="2"/>
          <w:sz w:val="24"/>
          <w:szCs w:val="24"/>
          <w14:ligatures w14:val="standardContextual"/>
        </w:rPr>
      </w:pPr>
      <w:hyperlink w:anchor="_Toc191542972" w:history="1">
        <w:r w:rsidRPr="004011A2">
          <w:rPr>
            <w:rStyle w:val="Hyperlink"/>
            <w:noProof/>
          </w:rPr>
          <w:t>Proclamations</w:t>
        </w:r>
        <w:r>
          <w:rPr>
            <w:noProof/>
            <w:webHidden/>
          </w:rPr>
          <w:t>—</w:t>
        </w:r>
      </w:hyperlink>
    </w:p>
    <w:p w14:paraId="68C7749F" w14:textId="472C974E" w:rsidR="00DB6374" w:rsidRDefault="00DB6374" w:rsidP="00DB6374">
      <w:pPr>
        <w:pStyle w:val="TOC3"/>
        <w:tabs>
          <w:tab w:val="right" w:leader="dot" w:pos="4524"/>
        </w:tabs>
        <w:spacing w:before="0" w:after="0" w:line="170" w:lineRule="exact"/>
        <w:ind w:left="284" w:hanging="142"/>
        <w:rPr>
          <w:rFonts w:asciiTheme="minorHAnsi" w:eastAsiaTheme="minorEastAsia" w:hAnsiTheme="minorHAnsi" w:cstheme="minorBidi"/>
          <w:noProof/>
          <w:color w:val="auto"/>
          <w:kern w:val="2"/>
          <w:sz w:val="24"/>
          <w:szCs w:val="24"/>
          <w14:ligatures w14:val="standardContextual"/>
        </w:rPr>
      </w:pPr>
      <w:hyperlink w:anchor="_Toc191542973" w:history="1">
        <w:r w:rsidRPr="004011A2">
          <w:rPr>
            <w:rStyle w:val="Hyperlink"/>
            <w:noProof/>
          </w:rPr>
          <w:t xml:space="preserve">Greyhound Industry Reform Inspector Act </w:t>
        </w:r>
        <w:r>
          <w:rPr>
            <w:rStyle w:val="Hyperlink"/>
            <w:noProof/>
          </w:rPr>
          <w:br/>
        </w:r>
        <w:r w:rsidRPr="004011A2">
          <w:rPr>
            <w:rStyle w:val="Hyperlink"/>
            <w:noProof/>
          </w:rPr>
          <w:t>(Commencement) Proclamation 2025</w:t>
        </w:r>
        <w:r>
          <w:rPr>
            <w:noProof/>
            <w:webHidden/>
          </w:rPr>
          <w:tab/>
        </w:r>
        <w:r>
          <w:rPr>
            <w:noProof/>
            <w:webHidden/>
          </w:rPr>
          <w:fldChar w:fldCharType="begin"/>
        </w:r>
        <w:r>
          <w:rPr>
            <w:noProof/>
            <w:webHidden/>
          </w:rPr>
          <w:instrText xml:space="preserve"> PAGEREF _Toc191542973 \h </w:instrText>
        </w:r>
        <w:r>
          <w:rPr>
            <w:noProof/>
            <w:webHidden/>
          </w:rPr>
        </w:r>
        <w:r>
          <w:rPr>
            <w:noProof/>
            <w:webHidden/>
          </w:rPr>
          <w:fldChar w:fldCharType="separate"/>
        </w:r>
        <w:r w:rsidR="00CA615B">
          <w:rPr>
            <w:noProof/>
            <w:webHidden/>
          </w:rPr>
          <w:t>225</w:t>
        </w:r>
        <w:r>
          <w:rPr>
            <w:noProof/>
            <w:webHidden/>
          </w:rPr>
          <w:fldChar w:fldCharType="end"/>
        </w:r>
      </w:hyperlink>
    </w:p>
    <w:p w14:paraId="46D1D7E5" w14:textId="0CC96E9A" w:rsidR="00DB6374" w:rsidRDefault="00DB6374" w:rsidP="00DB6374">
      <w:pPr>
        <w:pStyle w:val="TOC3"/>
        <w:tabs>
          <w:tab w:val="right" w:leader="dot" w:pos="4524"/>
        </w:tabs>
        <w:spacing w:before="0" w:after="0" w:line="170" w:lineRule="exact"/>
        <w:ind w:left="284" w:hanging="142"/>
        <w:rPr>
          <w:rFonts w:asciiTheme="minorHAnsi" w:eastAsiaTheme="minorEastAsia" w:hAnsiTheme="minorHAnsi" w:cstheme="minorBidi"/>
          <w:noProof/>
          <w:color w:val="auto"/>
          <w:kern w:val="2"/>
          <w:sz w:val="24"/>
          <w:szCs w:val="24"/>
          <w14:ligatures w14:val="standardContextual"/>
        </w:rPr>
      </w:pPr>
      <w:hyperlink w:anchor="_Toc191542974" w:history="1">
        <w:r w:rsidRPr="004011A2">
          <w:rPr>
            <w:rStyle w:val="Hyperlink"/>
            <w:noProof/>
          </w:rPr>
          <w:t xml:space="preserve">Administrative Arrangements (Administration of </w:t>
        </w:r>
        <w:r>
          <w:rPr>
            <w:rStyle w:val="Hyperlink"/>
            <w:noProof/>
          </w:rPr>
          <w:br/>
        </w:r>
        <w:r w:rsidRPr="004011A2">
          <w:rPr>
            <w:rStyle w:val="Hyperlink"/>
            <w:noProof/>
          </w:rPr>
          <w:t xml:space="preserve">Greyhound Industry Reform Inspector Act) </w:t>
        </w:r>
        <w:r>
          <w:rPr>
            <w:rStyle w:val="Hyperlink"/>
            <w:noProof/>
          </w:rPr>
          <w:br/>
        </w:r>
        <w:r w:rsidRPr="004011A2">
          <w:rPr>
            <w:rStyle w:val="Hyperlink"/>
            <w:noProof/>
          </w:rPr>
          <w:t>Proclamation 2025</w:t>
        </w:r>
        <w:r>
          <w:rPr>
            <w:noProof/>
            <w:webHidden/>
          </w:rPr>
          <w:tab/>
        </w:r>
        <w:r>
          <w:rPr>
            <w:noProof/>
            <w:webHidden/>
          </w:rPr>
          <w:fldChar w:fldCharType="begin"/>
        </w:r>
        <w:r>
          <w:rPr>
            <w:noProof/>
            <w:webHidden/>
          </w:rPr>
          <w:instrText xml:space="preserve"> PAGEREF _Toc191542974 \h </w:instrText>
        </w:r>
        <w:r>
          <w:rPr>
            <w:noProof/>
            <w:webHidden/>
          </w:rPr>
        </w:r>
        <w:r>
          <w:rPr>
            <w:noProof/>
            <w:webHidden/>
          </w:rPr>
          <w:fldChar w:fldCharType="separate"/>
        </w:r>
        <w:r w:rsidR="00CA615B">
          <w:rPr>
            <w:noProof/>
            <w:webHidden/>
          </w:rPr>
          <w:t>225</w:t>
        </w:r>
        <w:r>
          <w:rPr>
            <w:noProof/>
            <w:webHidden/>
          </w:rPr>
          <w:fldChar w:fldCharType="end"/>
        </w:r>
      </w:hyperlink>
    </w:p>
    <w:p w14:paraId="7B5447C0" w14:textId="681A68DC" w:rsidR="00DB6374" w:rsidRDefault="00DB6374" w:rsidP="00DB6374">
      <w:pPr>
        <w:pStyle w:val="TOC1"/>
        <w:rPr>
          <w:rFonts w:asciiTheme="minorHAnsi" w:eastAsiaTheme="minorEastAsia" w:hAnsiTheme="minorHAnsi" w:cstheme="minorBidi"/>
          <w:color w:val="auto"/>
          <w:kern w:val="2"/>
          <w:sz w:val="24"/>
          <w:szCs w:val="24"/>
          <w14:ligatures w14:val="standardContextual"/>
        </w:rPr>
      </w:pPr>
      <w:hyperlink w:anchor="_Toc191542975" w:history="1">
        <w:r w:rsidRPr="004011A2">
          <w:rPr>
            <w:rStyle w:val="Hyperlink"/>
          </w:rPr>
          <w:t>Rules of Court</w:t>
        </w:r>
      </w:hyperlink>
    </w:p>
    <w:p w14:paraId="6B518F9A" w14:textId="1A8D7831" w:rsidR="00DB6374" w:rsidRDefault="00DB6374" w:rsidP="00DB6374">
      <w:pPr>
        <w:pStyle w:val="TOC2"/>
        <w:tabs>
          <w:tab w:val="right" w:leader="dot" w:pos="4524"/>
        </w:tabs>
        <w:rPr>
          <w:rFonts w:asciiTheme="minorHAnsi" w:eastAsiaTheme="minorEastAsia" w:hAnsiTheme="minorHAnsi" w:cstheme="minorBidi"/>
          <w:noProof/>
          <w:color w:val="auto"/>
          <w:kern w:val="2"/>
          <w:sz w:val="24"/>
          <w:szCs w:val="24"/>
          <w14:ligatures w14:val="standardContextual"/>
        </w:rPr>
      </w:pPr>
      <w:hyperlink w:anchor="_Toc191542976" w:history="1">
        <w:r w:rsidRPr="004011A2">
          <w:rPr>
            <w:rStyle w:val="Hyperlink"/>
            <w:noProof/>
          </w:rPr>
          <w:t>Legal Practitioners Act 1981</w:t>
        </w:r>
        <w:r>
          <w:rPr>
            <w:noProof/>
            <w:webHidden/>
          </w:rPr>
          <w:tab/>
        </w:r>
        <w:r>
          <w:rPr>
            <w:noProof/>
            <w:webHidden/>
          </w:rPr>
          <w:fldChar w:fldCharType="begin"/>
        </w:r>
        <w:r>
          <w:rPr>
            <w:noProof/>
            <w:webHidden/>
          </w:rPr>
          <w:instrText xml:space="preserve"> PAGEREF _Toc191542976 \h </w:instrText>
        </w:r>
        <w:r>
          <w:rPr>
            <w:noProof/>
            <w:webHidden/>
          </w:rPr>
        </w:r>
        <w:r>
          <w:rPr>
            <w:noProof/>
            <w:webHidden/>
          </w:rPr>
          <w:fldChar w:fldCharType="separate"/>
        </w:r>
        <w:r w:rsidR="00CA615B">
          <w:rPr>
            <w:noProof/>
            <w:webHidden/>
          </w:rPr>
          <w:t>226</w:t>
        </w:r>
        <w:r>
          <w:rPr>
            <w:noProof/>
            <w:webHidden/>
          </w:rPr>
          <w:fldChar w:fldCharType="end"/>
        </w:r>
      </w:hyperlink>
    </w:p>
    <w:p w14:paraId="32FEF4B7" w14:textId="1CC5AF17" w:rsidR="00DB6374" w:rsidRDefault="00DB6374" w:rsidP="00DB6374">
      <w:pPr>
        <w:pStyle w:val="TOC1"/>
        <w:rPr>
          <w:rFonts w:asciiTheme="minorHAnsi" w:eastAsiaTheme="minorEastAsia" w:hAnsiTheme="minorHAnsi" w:cstheme="minorBidi"/>
          <w:color w:val="auto"/>
          <w:kern w:val="2"/>
          <w:sz w:val="24"/>
          <w:szCs w:val="24"/>
          <w14:ligatures w14:val="standardContextual"/>
        </w:rPr>
      </w:pPr>
      <w:hyperlink w:anchor="_Toc191542977" w:history="1">
        <w:r w:rsidRPr="004011A2">
          <w:rPr>
            <w:rStyle w:val="Hyperlink"/>
          </w:rPr>
          <w:t>State Government Instruments</w:t>
        </w:r>
      </w:hyperlink>
    </w:p>
    <w:p w14:paraId="79FEEE5D" w14:textId="3F3C3A7D" w:rsidR="00DB6374" w:rsidRDefault="00DB6374" w:rsidP="00DB6374">
      <w:pPr>
        <w:pStyle w:val="TOC2"/>
        <w:tabs>
          <w:tab w:val="right" w:leader="dot" w:pos="4524"/>
        </w:tabs>
        <w:rPr>
          <w:rFonts w:asciiTheme="minorHAnsi" w:eastAsiaTheme="minorEastAsia" w:hAnsiTheme="minorHAnsi" w:cstheme="minorBidi"/>
          <w:noProof/>
          <w:color w:val="auto"/>
          <w:kern w:val="2"/>
          <w:sz w:val="24"/>
          <w:szCs w:val="24"/>
          <w14:ligatures w14:val="standardContextual"/>
        </w:rPr>
      </w:pPr>
      <w:hyperlink w:anchor="_Toc191542978" w:history="1">
        <w:r w:rsidRPr="004011A2">
          <w:rPr>
            <w:rStyle w:val="Hyperlink"/>
            <w:noProof/>
          </w:rPr>
          <w:t>Assisted Reproductive Treatment Act 1988</w:t>
        </w:r>
        <w:r>
          <w:rPr>
            <w:noProof/>
            <w:webHidden/>
          </w:rPr>
          <w:tab/>
        </w:r>
        <w:r>
          <w:rPr>
            <w:noProof/>
            <w:webHidden/>
          </w:rPr>
          <w:fldChar w:fldCharType="begin"/>
        </w:r>
        <w:r>
          <w:rPr>
            <w:noProof/>
            <w:webHidden/>
          </w:rPr>
          <w:instrText xml:space="preserve"> PAGEREF _Toc191542978 \h </w:instrText>
        </w:r>
        <w:r>
          <w:rPr>
            <w:noProof/>
            <w:webHidden/>
          </w:rPr>
        </w:r>
        <w:r>
          <w:rPr>
            <w:noProof/>
            <w:webHidden/>
          </w:rPr>
          <w:fldChar w:fldCharType="separate"/>
        </w:r>
        <w:r w:rsidR="00CA615B">
          <w:rPr>
            <w:noProof/>
            <w:webHidden/>
          </w:rPr>
          <w:t>237</w:t>
        </w:r>
        <w:r>
          <w:rPr>
            <w:noProof/>
            <w:webHidden/>
          </w:rPr>
          <w:fldChar w:fldCharType="end"/>
        </w:r>
      </w:hyperlink>
    </w:p>
    <w:p w14:paraId="0201675B" w14:textId="091C702D" w:rsidR="00DB6374" w:rsidRDefault="00DB6374" w:rsidP="00DB6374">
      <w:pPr>
        <w:pStyle w:val="TOC2"/>
        <w:tabs>
          <w:tab w:val="right" w:leader="dot" w:pos="4524"/>
        </w:tabs>
        <w:rPr>
          <w:rFonts w:asciiTheme="minorHAnsi" w:eastAsiaTheme="minorEastAsia" w:hAnsiTheme="minorHAnsi" w:cstheme="minorBidi"/>
          <w:noProof/>
          <w:color w:val="auto"/>
          <w:kern w:val="2"/>
          <w:sz w:val="24"/>
          <w:szCs w:val="24"/>
          <w14:ligatures w14:val="standardContextual"/>
        </w:rPr>
      </w:pPr>
      <w:hyperlink w:anchor="_Toc191542980" w:history="1">
        <w:r w:rsidRPr="004011A2">
          <w:rPr>
            <w:rStyle w:val="Hyperlink"/>
            <w:noProof/>
          </w:rPr>
          <w:t>Boxing and Martial Arts Act 2000</w:t>
        </w:r>
        <w:r>
          <w:rPr>
            <w:noProof/>
            <w:webHidden/>
          </w:rPr>
          <w:tab/>
        </w:r>
        <w:r>
          <w:rPr>
            <w:noProof/>
            <w:webHidden/>
          </w:rPr>
          <w:fldChar w:fldCharType="begin"/>
        </w:r>
        <w:r>
          <w:rPr>
            <w:noProof/>
            <w:webHidden/>
          </w:rPr>
          <w:instrText xml:space="preserve"> PAGEREF _Toc191542980 \h </w:instrText>
        </w:r>
        <w:r>
          <w:rPr>
            <w:noProof/>
            <w:webHidden/>
          </w:rPr>
        </w:r>
        <w:r>
          <w:rPr>
            <w:noProof/>
            <w:webHidden/>
          </w:rPr>
          <w:fldChar w:fldCharType="separate"/>
        </w:r>
        <w:r w:rsidR="00CA615B">
          <w:rPr>
            <w:noProof/>
            <w:webHidden/>
          </w:rPr>
          <w:t>237</w:t>
        </w:r>
        <w:r>
          <w:rPr>
            <w:noProof/>
            <w:webHidden/>
          </w:rPr>
          <w:fldChar w:fldCharType="end"/>
        </w:r>
      </w:hyperlink>
    </w:p>
    <w:p w14:paraId="0AE6CA28" w14:textId="094B95BC" w:rsidR="00DB6374" w:rsidRDefault="00DB6374" w:rsidP="00DB6374">
      <w:pPr>
        <w:pStyle w:val="TOC2"/>
        <w:tabs>
          <w:tab w:val="right" w:leader="dot" w:pos="4524"/>
        </w:tabs>
        <w:rPr>
          <w:rFonts w:asciiTheme="minorHAnsi" w:eastAsiaTheme="minorEastAsia" w:hAnsiTheme="minorHAnsi" w:cstheme="minorBidi"/>
          <w:noProof/>
          <w:color w:val="auto"/>
          <w:kern w:val="2"/>
          <w:sz w:val="24"/>
          <w:szCs w:val="24"/>
          <w14:ligatures w14:val="standardContextual"/>
        </w:rPr>
      </w:pPr>
      <w:hyperlink w:anchor="_Toc191542981" w:history="1">
        <w:r w:rsidRPr="004011A2">
          <w:rPr>
            <w:rStyle w:val="Hyperlink"/>
            <w:noProof/>
          </w:rPr>
          <w:t>First Nations Voice Act 2023</w:t>
        </w:r>
        <w:r>
          <w:rPr>
            <w:noProof/>
            <w:webHidden/>
          </w:rPr>
          <w:tab/>
        </w:r>
        <w:r>
          <w:rPr>
            <w:noProof/>
            <w:webHidden/>
          </w:rPr>
          <w:fldChar w:fldCharType="begin"/>
        </w:r>
        <w:r>
          <w:rPr>
            <w:noProof/>
            <w:webHidden/>
          </w:rPr>
          <w:instrText xml:space="preserve"> PAGEREF _Toc191542981 \h </w:instrText>
        </w:r>
        <w:r>
          <w:rPr>
            <w:noProof/>
            <w:webHidden/>
          </w:rPr>
        </w:r>
        <w:r>
          <w:rPr>
            <w:noProof/>
            <w:webHidden/>
          </w:rPr>
          <w:fldChar w:fldCharType="separate"/>
        </w:r>
        <w:r w:rsidR="00CA615B">
          <w:rPr>
            <w:noProof/>
            <w:webHidden/>
          </w:rPr>
          <w:t>238</w:t>
        </w:r>
        <w:r>
          <w:rPr>
            <w:noProof/>
            <w:webHidden/>
          </w:rPr>
          <w:fldChar w:fldCharType="end"/>
        </w:r>
      </w:hyperlink>
    </w:p>
    <w:p w14:paraId="52E60792" w14:textId="4E4B5F8A" w:rsidR="00DB6374" w:rsidRDefault="00DB6374" w:rsidP="00DB6374">
      <w:pPr>
        <w:pStyle w:val="TOC2"/>
        <w:tabs>
          <w:tab w:val="right" w:leader="dot" w:pos="4524"/>
        </w:tabs>
        <w:rPr>
          <w:rFonts w:asciiTheme="minorHAnsi" w:eastAsiaTheme="minorEastAsia" w:hAnsiTheme="minorHAnsi" w:cstheme="minorBidi"/>
          <w:noProof/>
          <w:color w:val="auto"/>
          <w:kern w:val="2"/>
          <w:sz w:val="24"/>
          <w:szCs w:val="24"/>
          <w14:ligatures w14:val="standardContextual"/>
        </w:rPr>
      </w:pPr>
      <w:hyperlink w:anchor="_Toc191542982" w:history="1">
        <w:r w:rsidRPr="004011A2">
          <w:rPr>
            <w:rStyle w:val="Hyperlink"/>
            <w:noProof/>
          </w:rPr>
          <w:t>Fisheries Management (Prawn Fisheries) Regulations 2017</w:t>
        </w:r>
        <w:r>
          <w:rPr>
            <w:noProof/>
            <w:webHidden/>
          </w:rPr>
          <w:tab/>
        </w:r>
        <w:r>
          <w:rPr>
            <w:noProof/>
            <w:webHidden/>
          </w:rPr>
          <w:fldChar w:fldCharType="begin"/>
        </w:r>
        <w:r>
          <w:rPr>
            <w:noProof/>
            <w:webHidden/>
          </w:rPr>
          <w:instrText xml:space="preserve"> PAGEREF _Toc191542982 \h </w:instrText>
        </w:r>
        <w:r>
          <w:rPr>
            <w:noProof/>
            <w:webHidden/>
          </w:rPr>
        </w:r>
        <w:r>
          <w:rPr>
            <w:noProof/>
            <w:webHidden/>
          </w:rPr>
          <w:fldChar w:fldCharType="separate"/>
        </w:r>
        <w:r w:rsidR="00CA615B">
          <w:rPr>
            <w:noProof/>
            <w:webHidden/>
          </w:rPr>
          <w:t>238</w:t>
        </w:r>
        <w:r>
          <w:rPr>
            <w:noProof/>
            <w:webHidden/>
          </w:rPr>
          <w:fldChar w:fldCharType="end"/>
        </w:r>
      </w:hyperlink>
    </w:p>
    <w:p w14:paraId="5DBD4EDC" w14:textId="732D3C6C" w:rsidR="00DB6374" w:rsidRDefault="00DB6374" w:rsidP="00DB6374">
      <w:pPr>
        <w:pStyle w:val="TOC2"/>
        <w:tabs>
          <w:tab w:val="right" w:leader="dot" w:pos="4524"/>
        </w:tabs>
        <w:rPr>
          <w:rFonts w:asciiTheme="minorHAnsi" w:eastAsiaTheme="minorEastAsia" w:hAnsiTheme="minorHAnsi" w:cstheme="minorBidi"/>
          <w:noProof/>
          <w:color w:val="auto"/>
          <w:kern w:val="2"/>
          <w:sz w:val="24"/>
          <w:szCs w:val="24"/>
          <w14:ligatures w14:val="standardContextual"/>
        </w:rPr>
      </w:pPr>
      <w:hyperlink w:anchor="_Toc191542983" w:history="1">
        <w:r w:rsidRPr="004011A2">
          <w:rPr>
            <w:rStyle w:val="Hyperlink"/>
            <w:noProof/>
          </w:rPr>
          <w:t>Fisheries Management Act 2007</w:t>
        </w:r>
        <w:r>
          <w:rPr>
            <w:noProof/>
            <w:webHidden/>
          </w:rPr>
          <w:tab/>
        </w:r>
        <w:r>
          <w:rPr>
            <w:noProof/>
            <w:webHidden/>
          </w:rPr>
          <w:fldChar w:fldCharType="begin"/>
        </w:r>
        <w:r>
          <w:rPr>
            <w:noProof/>
            <w:webHidden/>
          </w:rPr>
          <w:instrText xml:space="preserve"> PAGEREF _Toc191542983 \h </w:instrText>
        </w:r>
        <w:r>
          <w:rPr>
            <w:noProof/>
            <w:webHidden/>
          </w:rPr>
        </w:r>
        <w:r>
          <w:rPr>
            <w:noProof/>
            <w:webHidden/>
          </w:rPr>
          <w:fldChar w:fldCharType="separate"/>
        </w:r>
        <w:r w:rsidR="00CA615B">
          <w:rPr>
            <w:noProof/>
            <w:webHidden/>
          </w:rPr>
          <w:t>238</w:t>
        </w:r>
        <w:r>
          <w:rPr>
            <w:noProof/>
            <w:webHidden/>
          </w:rPr>
          <w:fldChar w:fldCharType="end"/>
        </w:r>
      </w:hyperlink>
    </w:p>
    <w:p w14:paraId="42872EE1" w14:textId="619028B6" w:rsidR="00DB6374" w:rsidRDefault="00DB6374" w:rsidP="00DB6374">
      <w:pPr>
        <w:pStyle w:val="TOC2"/>
        <w:tabs>
          <w:tab w:val="right" w:leader="dot" w:pos="4524"/>
        </w:tabs>
        <w:rPr>
          <w:rFonts w:asciiTheme="minorHAnsi" w:eastAsiaTheme="minorEastAsia" w:hAnsiTheme="minorHAnsi" w:cstheme="minorBidi"/>
          <w:noProof/>
          <w:color w:val="auto"/>
          <w:kern w:val="2"/>
          <w:sz w:val="24"/>
          <w:szCs w:val="24"/>
          <w14:ligatures w14:val="standardContextual"/>
        </w:rPr>
      </w:pPr>
      <w:hyperlink w:anchor="_Toc191542984" w:history="1">
        <w:r w:rsidRPr="004011A2">
          <w:rPr>
            <w:rStyle w:val="Hyperlink"/>
            <w:noProof/>
          </w:rPr>
          <w:t>Housing Improvement Act 2016</w:t>
        </w:r>
        <w:r>
          <w:rPr>
            <w:noProof/>
            <w:webHidden/>
          </w:rPr>
          <w:tab/>
        </w:r>
        <w:r>
          <w:rPr>
            <w:noProof/>
            <w:webHidden/>
          </w:rPr>
          <w:fldChar w:fldCharType="begin"/>
        </w:r>
        <w:r>
          <w:rPr>
            <w:noProof/>
            <w:webHidden/>
          </w:rPr>
          <w:instrText xml:space="preserve"> PAGEREF _Toc191542984 \h </w:instrText>
        </w:r>
        <w:r>
          <w:rPr>
            <w:noProof/>
            <w:webHidden/>
          </w:rPr>
        </w:r>
        <w:r>
          <w:rPr>
            <w:noProof/>
            <w:webHidden/>
          </w:rPr>
          <w:fldChar w:fldCharType="separate"/>
        </w:r>
        <w:r w:rsidR="00CA615B">
          <w:rPr>
            <w:noProof/>
            <w:webHidden/>
          </w:rPr>
          <w:t>239</w:t>
        </w:r>
        <w:r>
          <w:rPr>
            <w:noProof/>
            <w:webHidden/>
          </w:rPr>
          <w:fldChar w:fldCharType="end"/>
        </w:r>
      </w:hyperlink>
    </w:p>
    <w:p w14:paraId="571E493A" w14:textId="4FAE35CD" w:rsidR="00DB6374" w:rsidRDefault="00DB6374" w:rsidP="00DB6374">
      <w:pPr>
        <w:pStyle w:val="TOC2"/>
        <w:tabs>
          <w:tab w:val="right" w:leader="dot" w:pos="4524"/>
        </w:tabs>
        <w:rPr>
          <w:rFonts w:asciiTheme="minorHAnsi" w:eastAsiaTheme="minorEastAsia" w:hAnsiTheme="minorHAnsi" w:cstheme="minorBidi"/>
          <w:noProof/>
          <w:color w:val="auto"/>
          <w:kern w:val="2"/>
          <w:sz w:val="24"/>
          <w:szCs w:val="24"/>
          <w14:ligatures w14:val="standardContextual"/>
        </w:rPr>
      </w:pPr>
      <w:hyperlink w:anchor="_Toc191542985" w:history="1">
        <w:r w:rsidRPr="004011A2">
          <w:rPr>
            <w:rStyle w:val="Hyperlink"/>
            <w:noProof/>
          </w:rPr>
          <w:t>Land Acquisition Act 1969</w:t>
        </w:r>
        <w:r>
          <w:rPr>
            <w:noProof/>
            <w:webHidden/>
          </w:rPr>
          <w:tab/>
        </w:r>
        <w:r>
          <w:rPr>
            <w:noProof/>
            <w:webHidden/>
          </w:rPr>
          <w:fldChar w:fldCharType="begin"/>
        </w:r>
        <w:r>
          <w:rPr>
            <w:noProof/>
            <w:webHidden/>
          </w:rPr>
          <w:instrText xml:space="preserve"> PAGEREF _Toc191542985 \h </w:instrText>
        </w:r>
        <w:r>
          <w:rPr>
            <w:noProof/>
            <w:webHidden/>
          </w:rPr>
        </w:r>
        <w:r>
          <w:rPr>
            <w:noProof/>
            <w:webHidden/>
          </w:rPr>
          <w:fldChar w:fldCharType="separate"/>
        </w:r>
        <w:r w:rsidR="00CA615B">
          <w:rPr>
            <w:noProof/>
            <w:webHidden/>
          </w:rPr>
          <w:t>240</w:t>
        </w:r>
        <w:r>
          <w:rPr>
            <w:noProof/>
            <w:webHidden/>
          </w:rPr>
          <w:fldChar w:fldCharType="end"/>
        </w:r>
      </w:hyperlink>
    </w:p>
    <w:p w14:paraId="4643F600" w14:textId="2A842A19" w:rsidR="00DB6374" w:rsidRDefault="00DB6374" w:rsidP="00DB6374">
      <w:pPr>
        <w:pStyle w:val="TOC2"/>
        <w:tabs>
          <w:tab w:val="right" w:leader="dot" w:pos="4524"/>
        </w:tabs>
        <w:rPr>
          <w:rFonts w:asciiTheme="minorHAnsi" w:eastAsiaTheme="minorEastAsia" w:hAnsiTheme="minorHAnsi" w:cstheme="minorBidi"/>
          <w:noProof/>
          <w:color w:val="auto"/>
          <w:kern w:val="2"/>
          <w:sz w:val="24"/>
          <w:szCs w:val="24"/>
          <w14:ligatures w14:val="standardContextual"/>
        </w:rPr>
      </w:pPr>
      <w:hyperlink w:anchor="_Toc191542979" w:history="1">
        <w:r w:rsidRPr="004011A2">
          <w:rPr>
            <w:rStyle w:val="Hyperlink"/>
            <w:noProof/>
          </w:rPr>
          <w:t>Legislation Interpretation Act 2021</w:t>
        </w:r>
        <w:r>
          <w:rPr>
            <w:noProof/>
            <w:webHidden/>
          </w:rPr>
          <w:tab/>
        </w:r>
        <w:r>
          <w:rPr>
            <w:noProof/>
            <w:webHidden/>
          </w:rPr>
          <w:fldChar w:fldCharType="begin"/>
        </w:r>
        <w:r>
          <w:rPr>
            <w:noProof/>
            <w:webHidden/>
          </w:rPr>
          <w:instrText xml:space="preserve"> PAGEREF _Toc191542979 \h </w:instrText>
        </w:r>
        <w:r>
          <w:rPr>
            <w:noProof/>
            <w:webHidden/>
          </w:rPr>
        </w:r>
        <w:r>
          <w:rPr>
            <w:noProof/>
            <w:webHidden/>
          </w:rPr>
          <w:fldChar w:fldCharType="separate"/>
        </w:r>
        <w:r w:rsidR="00CA615B">
          <w:rPr>
            <w:noProof/>
            <w:webHidden/>
          </w:rPr>
          <w:t>237</w:t>
        </w:r>
        <w:r>
          <w:rPr>
            <w:noProof/>
            <w:webHidden/>
          </w:rPr>
          <w:fldChar w:fldCharType="end"/>
        </w:r>
      </w:hyperlink>
    </w:p>
    <w:p w14:paraId="3FEC0798" w14:textId="2DA60E6A" w:rsidR="00DB6374" w:rsidRDefault="00DB6374" w:rsidP="00DB6374">
      <w:pPr>
        <w:pStyle w:val="TOC2"/>
        <w:tabs>
          <w:tab w:val="right" w:leader="dot" w:pos="4524"/>
        </w:tabs>
        <w:rPr>
          <w:rFonts w:asciiTheme="minorHAnsi" w:eastAsiaTheme="minorEastAsia" w:hAnsiTheme="minorHAnsi" w:cstheme="minorBidi"/>
          <w:noProof/>
          <w:color w:val="auto"/>
          <w:kern w:val="2"/>
          <w:sz w:val="24"/>
          <w:szCs w:val="24"/>
          <w14:ligatures w14:val="standardContextual"/>
        </w:rPr>
      </w:pPr>
      <w:hyperlink w:anchor="_Toc191542986" w:history="1">
        <w:r w:rsidRPr="004011A2">
          <w:rPr>
            <w:rStyle w:val="Hyperlink"/>
            <w:noProof/>
          </w:rPr>
          <w:t>National Parks and Wildlife Act 1972</w:t>
        </w:r>
        <w:r>
          <w:rPr>
            <w:noProof/>
            <w:webHidden/>
          </w:rPr>
          <w:tab/>
        </w:r>
        <w:r>
          <w:rPr>
            <w:noProof/>
            <w:webHidden/>
          </w:rPr>
          <w:fldChar w:fldCharType="begin"/>
        </w:r>
        <w:r>
          <w:rPr>
            <w:noProof/>
            <w:webHidden/>
          </w:rPr>
          <w:instrText xml:space="preserve"> PAGEREF _Toc191542986 \h </w:instrText>
        </w:r>
        <w:r>
          <w:rPr>
            <w:noProof/>
            <w:webHidden/>
          </w:rPr>
        </w:r>
        <w:r>
          <w:rPr>
            <w:noProof/>
            <w:webHidden/>
          </w:rPr>
          <w:fldChar w:fldCharType="separate"/>
        </w:r>
        <w:r w:rsidR="00CA615B">
          <w:rPr>
            <w:noProof/>
            <w:webHidden/>
          </w:rPr>
          <w:t>240</w:t>
        </w:r>
        <w:r>
          <w:rPr>
            <w:noProof/>
            <w:webHidden/>
          </w:rPr>
          <w:fldChar w:fldCharType="end"/>
        </w:r>
      </w:hyperlink>
    </w:p>
    <w:p w14:paraId="5CEC1DAC" w14:textId="168BDBA6" w:rsidR="00DB6374" w:rsidRDefault="00DB6374" w:rsidP="00DB6374">
      <w:pPr>
        <w:pStyle w:val="TOC2"/>
        <w:tabs>
          <w:tab w:val="right" w:leader="dot" w:pos="4524"/>
        </w:tabs>
        <w:rPr>
          <w:rFonts w:asciiTheme="minorHAnsi" w:eastAsiaTheme="minorEastAsia" w:hAnsiTheme="minorHAnsi" w:cstheme="minorBidi"/>
          <w:noProof/>
          <w:color w:val="auto"/>
          <w:kern w:val="2"/>
          <w:sz w:val="24"/>
          <w:szCs w:val="24"/>
          <w14:ligatures w14:val="standardContextual"/>
        </w:rPr>
      </w:pPr>
      <w:hyperlink w:anchor="_Toc191542987" w:history="1">
        <w:r w:rsidRPr="004011A2">
          <w:rPr>
            <w:rStyle w:val="Hyperlink"/>
            <w:noProof/>
          </w:rPr>
          <w:t>Passenger Transport Act 1994</w:t>
        </w:r>
        <w:r>
          <w:rPr>
            <w:noProof/>
            <w:webHidden/>
          </w:rPr>
          <w:tab/>
        </w:r>
        <w:r>
          <w:rPr>
            <w:noProof/>
            <w:webHidden/>
          </w:rPr>
          <w:fldChar w:fldCharType="begin"/>
        </w:r>
        <w:r>
          <w:rPr>
            <w:noProof/>
            <w:webHidden/>
          </w:rPr>
          <w:instrText xml:space="preserve"> PAGEREF _Toc191542987 \h </w:instrText>
        </w:r>
        <w:r>
          <w:rPr>
            <w:noProof/>
            <w:webHidden/>
          </w:rPr>
        </w:r>
        <w:r>
          <w:rPr>
            <w:noProof/>
            <w:webHidden/>
          </w:rPr>
          <w:fldChar w:fldCharType="separate"/>
        </w:r>
        <w:r w:rsidR="00CA615B">
          <w:rPr>
            <w:noProof/>
            <w:webHidden/>
          </w:rPr>
          <w:t>242</w:t>
        </w:r>
        <w:r>
          <w:rPr>
            <w:noProof/>
            <w:webHidden/>
          </w:rPr>
          <w:fldChar w:fldCharType="end"/>
        </w:r>
      </w:hyperlink>
    </w:p>
    <w:p w14:paraId="693B25F3" w14:textId="6873FE0C" w:rsidR="00DB6374" w:rsidRDefault="00DB6374" w:rsidP="00DB6374">
      <w:pPr>
        <w:pStyle w:val="TOC2"/>
        <w:tabs>
          <w:tab w:val="right" w:leader="dot" w:pos="4524"/>
        </w:tabs>
        <w:rPr>
          <w:rFonts w:asciiTheme="minorHAnsi" w:eastAsiaTheme="minorEastAsia" w:hAnsiTheme="minorHAnsi" w:cstheme="minorBidi"/>
          <w:noProof/>
          <w:color w:val="auto"/>
          <w:kern w:val="2"/>
          <w:sz w:val="24"/>
          <w:szCs w:val="24"/>
          <w14:ligatures w14:val="standardContextual"/>
        </w:rPr>
      </w:pPr>
      <w:hyperlink w:anchor="_Toc191542988" w:history="1">
        <w:r w:rsidRPr="004011A2">
          <w:rPr>
            <w:rStyle w:val="Hyperlink"/>
            <w:noProof/>
          </w:rPr>
          <w:t>Planning, Development and Infrastructure Act 2016</w:t>
        </w:r>
        <w:r>
          <w:rPr>
            <w:noProof/>
            <w:webHidden/>
          </w:rPr>
          <w:tab/>
        </w:r>
        <w:r>
          <w:rPr>
            <w:noProof/>
            <w:webHidden/>
          </w:rPr>
          <w:fldChar w:fldCharType="begin"/>
        </w:r>
        <w:r>
          <w:rPr>
            <w:noProof/>
            <w:webHidden/>
          </w:rPr>
          <w:instrText xml:space="preserve"> PAGEREF _Toc191542988 \h </w:instrText>
        </w:r>
        <w:r>
          <w:rPr>
            <w:noProof/>
            <w:webHidden/>
          </w:rPr>
        </w:r>
        <w:r>
          <w:rPr>
            <w:noProof/>
            <w:webHidden/>
          </w:rPr>
          <w:fldChar w:fldCharType="separate"/>
        </w:r>
        <w:r w:rsidR="00CA615B">
          <w:rPr>
            <w:noProof/>
            <w:webHidden/>
          </w:rPr>
          <w:t>242</w:t>
        </w:r>
        <w:r>
          <w:rPr>
            <w:noProof/>
            <w:webHidden/>
          </w:rPr>
          <w:fldChar w:fldCharType="end"/>
        </w:r>
      </w:hyperlink>
    </w:p>
    <w:p w14:paraId="1D2BCCA5" w14:textId="44BCE586" w:rsidR="00DB6374" w:rsidRDefault="00DB6374" w:rsidP="00DB6374">
      <w:pPr>
        <w:pStyle w:val="TOC2"/>
        <w:tabs>
          <w:tab w:val="right" w:leader="dot" w:pos="4524"/>
        </w:tabs>
        <w:rPr>
          <w:rFonts w:asciiTheme="minorHAnsi" w:eastAsiaTheme="minorEastAsia" w:hAnsiTheme="minorHAnsi" w:cstheme="minorBidi"/>
          <w:noProof/>
          <w:color w:val="auto"/>
          <w:kern w:val="2"/>
          <w:sz w:val="24"/>
          <w:szCs w:val="24"/>
          <w14:ligatures w14:val="standardContextual"/>
        </w:rPr>
      </w:pPr>
      <w:hyperlink w:anchor="_Toc191542989" w:history="1">
        <w:r w:rsidRPr="004011A2">
          <w:rPr>
            <w:rStyle w:val="Hyperlink"/>
            <w:noProof/>
          </w:rPr>
          <w:t>Police Act 1998</w:t>
        </w:r>
        <w:r w:rsidR="00070016">
          <w:rPr>
            <w:rStyle w:val="Hyperlink"/>
            <w:noProof/>
          </w:rPr>
          <w:t>—</w:t>
        </w:r>
        <w:r w:rsidR="00070016" w:rsidRPr="00070016">
          <w:rPr>
            <w:rStyle w:val="Hyperlink"/>
            <w:smallCaps/>
            <w:noProof/>
          </w:rPr>
          <w:t>Republished</w:t>
        </w:r>
        <w:r>
          <w:rPr>
            <w:noProof/>
            <w:webHidden/>
          </w:rPr>
          <w:tab/>
        </w:r>
        <w:r>
          <w:rPr>
            <w:noProof/>
            <w:webHidden/>
          </w:rPr>
          <w:fldChar w:fldCharType="begin"/>
        </w:r>
        <w:r>
          <w:rPr>
            <w:noProof/>
            <w:webHidden/>
          </w:rPr>
          <w:instrText xml:space="preserve"> PAGEREF _Toc191542989 \h </w:instrText>
        </w:r>
        <w:r>
          <w:rPr>
            <w:noProof/>
            <w:webHidden/>
          </w:rPr>
        </w:r>
        <w:r>
          <w:rPr>
            <w:noProof/>
            <w:webHidden/>
          </w:rPr>
          <w:fldChar w:fldCharType="separate"/>
        </w:r>
        <w:r w:rsidR="00CA615B">
          <w:rPr>
            <w:noProof/>
            <w:webHidden/>
          </w:rPr>
          <w:t>247</w:t>
        </w:r>
        <w:r>
          <w:rPr>
            <w:noProof/>
            <w:webHidden/>
          </w:rPr>
          <w:fldChar w:fldCharType="end"/>
        </w:r>
      </w:hyperlink>
    </w:p>
    <w:p w14:paraId="3456A8F7" w14:textId="24726478" w:rsidR="00DB6374" w:rsidRDefault="00DB6374" w:rsidP="00DB6374">
      <w:pPr>
        <w:pStyle w:val="TOC2"/>
        <w:tabs>
          <w:tab w:val="right" w:leader="dot" w:pos="4524"/>
        </w:tabs>
        <w:rPr>
          <w:rFonts w:asciiTheme="minorHAnsi" w:eastAsiaTheme="minorEastAsia" w:hAnsiTheme="minorHAnsi" w:cstheme="minorBidi"/>
          <w:noProof/>
          <w:color w:val="auto"/>
          <w:kern w:val="2"/>
          <w:sz w:val="24"/>
          <w:szCs w:val="24"/>
          <w14:ligatures w14:val="standardContextual"/>
        </w:rPr>
      </w:pPr>
      <w:hyperlink w:anchor="_Toc191542990" w:history="1">
        <w:r w:rsidRPr="004011A2">
          <w:rPr>
            <w:rStyle w:val="Hyperlink"/>
            <w:noProof/>
          </w:rPr>
          <w:t>South Australian Housing Trust Act 1995</w:t>
        </w:r>
        <w:r>
          <w:rPr>
            <w:noProof/>
            <w:webHidden/>
          </w:rPr>
          <w:tab/>
        </w:r>
        <w:r>
          <w:rPr>
            <w:noProof/>
            <w:webHidden/>
          </w:rPr>
          <w:fldChar w:fldCharType="begin"/>
        </w:r>
        <w:r>
          <w:rPr>
            <w:noProof/>
            <w:webHidden/>
          </w:rPr>
          <w:instrText xml:space="preserve"> PAGEREF _Toc191542990 \h </w:instrText>
        </w:r>
        <w:r>
          <w:rPr>
            <w:noProof/>
            <w:webHidden/>
          </w:rPr>
        </w:r>
        <w:r>
          <w:rPr>
            <w:noProof/>
            <w:webHidden/>
          </w:rPr>
          <w:fldChar w:fldCharType="separate"/>
        </w:r>
        <w:r w:rsidR="00CA615B">
          <w:rPr>
            <w:noProof/>
            <w:webHidden/>
          </w:rPr>
          <w:t>247</w:t>
        </w:r>
        <w:r>
          <w:rPr>
            <w:noProof/>
            <w:webHidden/>
          </w:rPr>
          <w:fldChar w:fldCharType="end"/>
        </w:r>
      </w:hyperlink>
    </w:p>
    <w:p w14:paraId="7B9CC918" w14:textId="347CB10D" w:rsidR="00DB6374" w:rsidRDefault="00DB6374" w:rsidP="00DB6374">
      <w:pPr>
        <w:pStyle w:val="TOC2"/>
        <w:tabs>
          <w:tab w:val="right" w:leader="dot" w:pos="4524"/>
        </w:tabs>
        <w:rPr>
          <w:rFonts w:asciiTheme="minorHAnsi" w:eastAsiaTheme="minorEastAsia" w:hAnsiTheme="minorHAnsi" w:cstheme="minorBidi"/>
          <w:noProof/>
          <w:color w:val="auto"/>
          <w:kern w:val="2"/>
          <w:sz w:val="24"/>
          <w:szCs w:val="24"/>
          <w14:ligatures w14:val="standardContextual"/>
        </w:rPr>
      </w:pPr>
      <w:hyperlink w:anchor="_Toc191542991" w:history="1">
        <w:r w:rsidRPr="004011A2">
          <w:rPr>
            <w:rStyle w:val="Hyperlink"/>
            <w:noProof/>
          </w:rPr>
          <w:t>Urban Renewal Act 1995</w:t>
        </w:r>
        <w:r>
          <w:rPr>
            <w:noProof/>
            <w:webHidden/>
          </w:rPr>
          <w:tab/>
        </w:r>
        <w:r>
          <w:rPr>
            <w:noProof/>
            <w:webHidden/>
          </w:rPr>
          <w:fldChar w:fldCharType="begin"/>
        </w:r>
        <w:r>
          <w:rPr>
            <w:noProof/>
            <w:webHidden/>
          </w:rPr>
          <w:instrText xml:space="preserve"> PAGEREF _Toc191542991 \h </w:instrText>
        </w:r>
        <w:r>
          <w:rPr>
            <w:noProof/>
            <w:webHidden/>
          </w:rPr>
        </w:r>
        <w:r>
          <w:rPr>
            <w:noProof/>
            <w:webHidden/>
          </w:rPr>
          <w:fldChar w:fldCharType="separate"/>
        </w:r>
        <w:r w:rsidR="00CA615B">
          <w:rPr>
            <w:noProof/>
            <w:webHidden/>
          </w:rPr>
          <w:t>248</w:t>
        </w:r>
        <w:r>
          <w:rPr>
            <w:noProof/>
            <w:webHidden/>
          </w:rPr>
          <w:fldChar w:fldCharType="end"/>
        </w:r>
      </w:hyperlink>
    </w:p>
    <w:p w14:paraId="48DB94DB" w14:textId="71EE5E28" w:rsidR="00DB6374" w:rsidRDefault="00DB6374" w:rsidP="00DB6374">
      <w:pPr>
        <w:pStyle w:val="TOC1"/>
        <w:rPr>
          <w:rFonts w:asciiTheme="minorHAnsi" w:eastAsiaTheme="minorEastAsia" w:hAnsiTheme="minorHAnsi" w:cstheme="minorBidi"/>
          <w:color w:val="auto"/>
          <w:kern w:val="2"/>
          <w:sz w:val="24"/>
          <w:szCs w:val="24"/>
          <w14:ligatures w14:val="standardContextual"/>
        </w:rPr>
      </w:pPr>
      <w:hyperlink w:anchor="_Toc191542992" w:history="1">
        <w:r w:rsidRPr="004011A2">
          <w:rPr>
            <w:rStyle w:val="Hyperlink"/>
          </w:rPr>
          <w:t>Local Government Instruments</w:t>
        </w:r>
      </w:hyperlink>
    </w:p>
    <w:p w14:paraId="2AEA6835" w14:textId="75307D0D" w:rsidR="00DB6374" w:rsidRDefault="00DB6374" w:rsidP="00DB6374">
      <w:pPr>
        <w:pStyle w:val="TOC2"/>
        <w:tabs>
          <w:tab w:val="right" w:leader="dot" w:pos="4524"/>
        </w:tabs>
        <w:rPr>
          <w:rFonts w:asciiTheme="minorHAnsi" w:eastAsiaTheme="minorEastAsia" w:hAnsiTheme="minorHAnsi" w:cstheme="minorBidi"/>
          <w:noProof/>
          <w:color w:val="auto"/>
          <w:kern w:val="2"/>
          <w:sz w:val="24"/>
          <w:szCs w:val="24"/>
          <w14:ligatures w14:val="standardContextual"/>
        </w:rPr>
      </w:pPr>
      <w:hyperlink w:anchor="_Toc191542993" w:history="1">
        <w:r w:rsidRPr="004011A2">
          <w:rPr>
            <w:rStyle w:val="Hyperlink"/>
            <w:noProof/>
          </w:rPr>
          <w:t>City of Adelaide</w:t>
        </w:r>
        <w:r>
          <w:rPr>
            <w:noProof/>
            <w:webHidden/>
          </w:rPr>
          <w:tab/>
        </w:r>
        <w:r>
          <w:rPr>
            <w:noProof/>
            <w:webHidden/>
          </w:rPr>
          <w:fldChar w:fldCharType="begin"/>
        </w:r>
        <w:r>
          <w:rPr>
            <w:noProof/>
            <w:webHidden/>
          </w:rPr>
          <w:instrText xml:space="preserve"> PAGEREF _Toc191542993 \h </w:instrText>
        </w:r>
        <w:r>
          <w:rPr>
            <w:noProof/>
            <w:webHidden/>
          </w:rPr>
        </w:r>
        <w:r>
          <w:rPr>
            <w:noProof/>
            <w:webHidden/>
          </w:rPr>
          <w:fldChar w:fldCharType="separate"/>
        </w:r>
        <w:r w:rsidR="00CA615B">
          <w:rPr>
            <w:noProof/>
            <w:webHidden/>
          </w:rPr>
          <w:t>249</w:t>
        </w:r>
        <w:r>
          <w:rPr>
            <w:noProof/>
            <w:webHidden/>
          </w:rPr>
          <w:fldChar w:fldCharType="end"/>
        </w:r>
      </w:hyperlink>
    </w:p>
    <w:p w14:paraId="7DAC7A23" w14:textId="3836383E" w:rsidR="00DB6374" w:rsidRDefault="00DB6374" w:rsidP="00DB6374">
      <w:pPr>
        <w:pStyle w:val="TOC2"/>
        <w:tabs>
          <w:tab w:val="right" w:leader="dot" w:pos="4524"/>
        </w:tabs>
        <w:rPr>
          <w:rFonts w:asciiTheme="minorHAnsi" w:eastAsiaTheme="minorEastAsia" w:hAnsiTheme="minorHAnsi" w:cstheme="minorBidi"/>
          <w:noProof/>
          <w:color w:val="auto"/>
          <w:kern w:val="2"/>
          <w:sz w:val="24"/>
          <w:szCs w:val="24"/>
          <w14:ligatures w14:val="standardContextual"/>
        </w:rPr>
      </w:pPr>
      <w:hyperlink w:anchor="_Toc191542994" w:history="1">
        <w:r w:rsidRPr="004011A2">
          <w:rPr>
            <w:rStyle w:val="Hyperlink"/>
            <w:noProof/>
          </w:rPr>
          <w:t>Wattle Range Council</w:t>
        </w:r>
        <w:r>
          <w:rPr>
            <w:noProof/>
            <w:webHidden/>
          </w:rPr>
          <w:tab/>
        </w:r>
        <w:r>
          <w:rPr>
            <w:noProof/>
            <w:webHidden/>
          </w:rPr>
          <w:fldChar w:fldCharType="begin"/>
        </w:r>
        <w:r>
          <w:rPr>
            <w:noProof/>
            <w:webHidden/>
          </w:rPr>
          <w:instrText xml:space="preserve"> PAGEREF _Toc191542994 \h </w:instrText>
        </w:r>
        <w:r>
          <w:rPr>
            <w:noProof/>
            <w:webHidden/>
          </w:rPr>
        </w:r>
        <w:r>
          <w:rPr>
            <w:noProof/>
            <w:webHidden/>
          </w:rPr>
          <w:fldChar w:fldCharType="separate"/>
        </w:r>
        <w:r w:rsidR="00CA615B">
          <w:rPr>
            <w:noProof/>
            <w:webHidden/>
          </w:rPr>
          <w:t>249</w:t>
        </w:r>
        <w:r>
          <w:rPr>
            <w:noProof/>
            <w:webHidden/>
          </w:rPr>
          <w:fldChar w:fldCharType="end"/>
        </w:r>
      </w:hyperlink>
    </w:p>
    <w:p w14:paraId="5CD69C74" w14:textId="542BB3CD" w:rsidR="00DB6374" w:rsidRDefault="00DB6374" w:rsidP="00DB6374">
      <w:pPr>
        <w:pStyle w:val="TOC1"/>
        <w:rPr>
          <w:rFonts w:asciiTheme="minorHAnsi" w:eastAsiaTheme="minorEastAsia" w:hAnsiTheme="minorHAnsi" w:cstheme="minorBidi"/>
          <w:color w:val="auto"/>
          <w:kern w:val="2"/>
          <w:sz w:val="24"/>
          <w:szCs w:val="24"/>
          <w14:ligatures w14:val="standardContextual"/>
        </w:rPr>
      </w:pPr>
      <w:hyperlink w:anchor="_Toc191542995" w:history="1">
        <w:r w:rsidRPr="004011A2">
          <w:rPr>
            <w:rStyle w:val="Hyperlink"/>
          </w:rPr>
          <w:t>Public Notices</w:t>
        </w:r>
      </w:hyperlink>
    </w:p>
    <w:p w14:paraId="303D0534" w14:textId="2F089AB5" w:rsidR="00DB6374" w:rsidRDefault="00DB6374" w:rsidP="00DB6374">
      <w:pPr>
        <w:pStyle w:val="TOC2"/>
        <w:tabs>
          <w:tab w:val="right" w:leader="dot" w:pos="4524"/>
        </w:tabs>
        <w:rPr>
          <w:rFonts w:asciiTheme="minorHAnsi" w:eastAsiaTheme="minorEastAsia" w:hAnsiTheme="minorHAnsi" w:cstheme="minorBidi"/>
          <w:noProof/>
          <w:color w:val="auto"/>
          <w:kern w:val="2"/>
          <w:sz w:val="24"/>
          <w:szCs w:val="24"/>
          <w14:ligatures w14:val="standardContextual"/>
        </w:rPr>
      </w:pPr>
      <w:hyperlink w:anchor="_Toc191542996" w:history="1">
        <w:r w:rsidRPr="004011A2">
          <w:rPr>
            <w:rStyle w:val="Hyperlink"/>
            <w:noProof/>
          </w:rPr>
          <w:t>Trustee Act 1936</w:t>
        </w:r>
        <w:r>
          <w:rPr>
            <w:noProof/>
            <w:webHidden/>
          </w:rPr>
          <w:tab/>
        </w:r>
        <w:r>
          <w:rPr>
            <w:noProof/>
            <w:webHidden/>
          </w:rPr>
          <w:fldChar w:fldCharType="begin"/>
        </w:r>
        <w:r>
          <w:rPr>
            <w:noProof/>
            <w:webHidden/>
          </w:rPr>
          <w:instrText xml:space="preserve"> PAGEREF _Toc191542996 \h </w:instrText>
        </w:r>
        <w:r>
          <w:rPr>
            <w:noProof/>
            <w:webHidden/>
          </w:rPr>
        </w:r>
        <w:r>
          <w:rPr>
            <w:noProof/>
            <w:webHidden/>
          </w:rPr>
          <w:fldChar w:fldCharType="separate"/>
        </w:r>
        <w:r w:rsidR="00CA615B">
          <w:rPr>
            <w:noProof/>
            <w:webHidden/>
          </w:rPr>
          <w:t>250</w:t>
        </w:r>
        <w:r>
          <w:rPr>
            <w:noProof/>
            <w:webHidden/>
          </w:rPr>
          <w:fldChar w:fldCharType="end"/>
        </w:r>
      </w:hyperlink>
    </w:p>
    <w:p w14:paraId="3745095F" w14:textId="2FFD676B" w:rsidR="001B7138" w:rsidRDefault="00B1073C" w:rsidP="00B1073C">
      <w:pPr>
        <w:spacing w:after="0"/>
        <w:rPr>
          <w:smallCaps/>
          <w:szCs w:val="17"/>
        </w:rPr>
      </w:pPr>
      <w:r w:rsidRPr="00B1073C">
        <w:rPr>
          <w:b/>
          <w:smallCaps/>
          <w:szCs w:val="17"/>
        </w:rPr>
        <w:fldChar w:fldCharType="end"/>
      </w:r>
    </w:p>
    <w:p w14:paraId="6E854DB6" w14:textId="77777777" w:rsidR="00DA30CF" w:rsidRPr="00612978" w:rsidRDefault="00DA30CF" w:rsidP="0087395E">
      <w:pPr>
        <w:spacing w:after="0"/>
        <w:rPr>
          <w:smallCaps/>
          <w:szCs w:val="17"/>
        </w:rPr>
        <w:sectPr w:rsidR="00DA30CF" w:rsidRPr="00612978" w:rsidSect="00DB6374">
          <w:headerReference w:type="even" r:id="rId13"/>
          <w:headerReference w:type="default" r:id="rId14"/>
          <w:footerReference w:type="default" r:id="rId15"/>
          <w:footerReference w:type="first" r:id="rId16"/>
          <w:type w:val="continuous"/>
          <w:pgSz w:w="11906" w:h="16838"/>
          <w:pgMar w:top="1134" w:right="3686" w:bottom="1134" w:left="3686" w:header="709" w:footer="709" w:gutter="0"/>
          <w:cols w:space="240"/>
          <w:docGrid w:linePitch="360"/>
        </w:sectPr>
      </w:pPr>
    </w:p>
    <w:p w14:paraId="0B0334E8" w14:textId="77777777" w:rsidR="009D1E2E" w:rsidRPr="0043001F" w:rsidRDefault="009D1E2E" w:rsidP="0043001F">
      <w:pPr>
        <w:pStyle w:val="Heading1"/>
      </w:pPr>
      <w:bookmarkStart w:id="1" w:name="_Toc33707977"/>
      <w:bookmarkStart w:id="2" w:name="_Toc33708148"/>
      <w:bookmarkStart w:id="3" w:name="_Toc191542969"/>
      <w:r w:rsidRPr="0043001F">
        <w:lastRenderedPageBreak/>
        <w:t>Governor’s Instruments</w:t>
      </w:r>
      <w:bookmarkEnd w:id="1"/>
      <w:bookmarkEnd w:id="2"/>
      <w:bookmarkEnd w:id="3"/>
    </w:p>
    <w:p w14:paraId="17C9B2C9" w14:textId="183D69E3" w:rsidR="00CB7FBA" w:rsidRPr="007004B5" w:rsidRDefault="007004B5" w:rsidP="007004B5">
      <w:pPr>
        <w:pStyle w:val="Heading2"/>
      </w:pPr>
      <w:bookmarkStart w:id="4" w:name="_Toc191542970"/>
      <w:r w:rsidRPr="007004B5">
        <w:t>Acts</w:t>
      </w:r>
      <w:bookmarkEnd w:id="4"/>
    </w:p>
    <w:p w14:paraId="2FDC7DD8" w14:textId="77777777" w:rsidR="00CB7FBA" w:rsidRPr="001A09E2" w:rsidRDefault="00CB7FBA" w:rsidP="00CB7FBA">
      <w:pPr>
        <w:spacing w:after="0"/>
        <w:jc w:val="right"/>
        <w:rPr>
          <w:rFonts w:eastAsia="Times New Roman"/>
          <w:szCs w:val="17"/>
        </w:rPr>
      </w:pPr>
      <w:r w:rsidRPr="001A09E2">
        <w:rPr>
          <w:rFonts w:eastAsia="Times New Roman"/>
          <w:szCs w:val="17"/>
        </w:rPr>
        <w:t>Department of the Premier and Cabinet</w:t>
      </w:r>
    </w:p>
    <w:p w14:paraId="38D4A37B" w14:textId="77777777" w:rsidR="00CB7FBA" w:rsidRPr="001A09E2" w:rsidRDefault="00CB7FBA" w:rsidP="00CB7FBA">
      <w:pPr>
        <w:jc w:val="right"/>
        <w:rPr>
          <w:rFonts w:eastAsia="Times New Roman"/>
          <w:szCs w:val="17"/>
        </w:rPr>
      </w:pPr>
      <w:r w:rsidRPr="001A09E2">
        <w:rPr>
          <w:rFonts w:eastAsia="Times New Roman"/>
          <w:szCs w:val="17"/>
        </w:rPr>
        <w:t>Adelaide, 27 February 2025</w:t>
      </w:r>
    </w:p>
    <w:p w14:paraId="5090819F" w14:textId="77777777" w:rsidR="00CB7FBA" w:rsidRPr="001A09E2" w:rsidRDefault="00CB7FBA" w:rsidP="00CB7FBA">
      <w:pPr>
        <w:pStyle w:val="GG-body"/>
      </w:pPr>
      <w:r w:rsidRPr="00FC7F15">
        <w:rPr>
          <w:spacing w:val="-2"/>
        </w:rPr>
        <w:t>Her Excellency the Governor directs it to be notified for general information that she has in the name and on behalf of His Majesty The King,</w:t>
      </w:r>
      <w:r w:rsidRPr="001A09E2">
        <w:t xml:space="preserve"> this day assented to the undermentioned Bills passed by the Legislative Council and House of Assembly in Parliament assembled, viz.:</w:t>
      </w:r>
    </w:p>
    <w:p w14:paraId="52C985BB" w14:textId="77777777" w:rsidR="00CB7FBA" w:rsidRPr="001A09E2" w:rsidRDefault="00CB7FBA" w:rsidP="00CB7FBA">
      <w:pPr>
        <w:pStyle w:val="GG-body"/>
        <w:spacing w:after="0"/>
        <w:ind w:left="142"/>
      </w:pPr>
      <w:r w:rsidRPr="001A09E2">
        <w:t>No. 7 of 2025—Statutes Amendment (National Energy Laws) (Data Access) Bill 2025</w:t>
      </w:r>
    </w:p>
    <w:p w14:paraId="181C3007" w14:textId="77777777" w:rsidR="00CB7FBA" w:rsidRPr="001A09E2" w:rsidRDefault="00CB7FBA" w:rsidP="00CB7FBA">
      <w:pPr>
        <w:pStyle w:val="GG-body"/>
        <w:ind w:left="284"/>
      </w:pPr>
      <w:r w:rsidRPr="001A09E2">
        <w:t>An Act to amend the National Electricity (South Australia) Act 1996 and the National Gas (South Australia) Act 2008</w:t>
      </w:r>
    </w:p>
    <w:p w14:paraId="0C6B2EE6" w14:textId="77777777" w:rsidR="00CB7FBA" w:rsidRPr="001A09E2" w:rsidRDefault="00CB7FBA" w:rsidP="00CB7FBA">
      <w:pPr>
        <w:pStyle w:val="GG-body"/>
        <w:spacing w:after="0"/>
        <w:ind w:left="142"/>
      </w:pPr>
      <w:r w:rsidRPr="001A09E2">
        <w:t>No. 8 of 2025—Animal Welfare Bill 2025</w:t>
      </w:r>
    </w:p>
    <w:p w14:paraId="06F2E36F" w14:textId="77777777" w:rsidR="00CB7FBA" w:rsidRPr="001A09E2" w:rsidRDefault="00CB7FBA" w:rsidP="00CB7FBA">
      <w:pPr>
        <w:pStyle w:val="GG-body"/>
        <w:ind w:left="284"/>
      </w:pPr>
      <w:r w:rsidRPr="001A09E2">
        <w:t>An Act to provide for the protection of animal welfare and the prevention of harm to animals, to make related amendments to the Criminal Law Consolidation Act 1935, the Dog and Cat Management Act 1995, the Sentencing Act 2017 and the Veterinary Services Act 2023, to repeal the Animal Welfare Act 1985 and for other purposes</w:t>
      </w:r>
    </w:p>
    <w:p w14:paraId="2F0BBD71" w14:textId="77777777" w:rsidR="00CB7FBA" w:rsidRPr="001A09E2" w:rsidRDefault="00CB7FBA" w:rsidP="00CB7FBA">
      <w:pPr>
        <w:spacing w:after="0"/>
        <w:ind w:left="142"/>
        <w:jc w:val="center"/>
        <w:rPr>
          <w:szCs w:val="17"/>
        </w:rPr>
      </w:pPr>
      <w:r w:rsidRPr="001A09E2">
        <w:rPr>
          <w:szCs w:val="17"/>
        </w:rPr>
        <w:t>By command,</w:t>
      </w:r>
    </w:p>
    <w:p w14:paraId="706F60A7" w14:textId="77777777" w:rsidR="00CB7FBA" w:rsidRPr="001A09E2" w:rsidRDefault="00CB7FBA" w:rsidP="00CB7FBA">
      <w:pPr>
        <w:pStyle w:val="GG-SName"/>
      </w:pPr>
      <w:r w:rsidRPr="001A09E2">
        <w:t>Christopher James Picton, M</w:t>
      </w:r>
      <w:r>
        <w:t>P</w:t>
      </w:r>
    </w:p>
    <w:p w14:paraId="7BDBE73E" w14:textId="77777777" w:rsidR="00CB7FBA" w:rsidRDefault="00CB7FBA" w:rsidP="00CB7FBA">
      <w:pPr>
        <w:pStyle w:val="GG-Signature"/>
      </w:pPr>
      <w:r w:rsidRPr="001A09E2">
        <w:t>For Premier</w:t>
      </w:r>
    </w:p>
    <w:p w14:paraId="3E432A0A" w14:textId="77777777" w:rsidR="00CB7FBA" w:rsidRDefault="00CB7FBA" w:rsidP="00CB7FBA">
      <w:pPr>
        <w:pStyle w:val="GG-Signature"/>
        <w:pBdr>
          <w:bottom w:val="single" w:sz="4" w:space="1" w:color="auto"/>
        </w:pBdr>
        <w:spacing w:line="52" w:lineRule="exact"/>
        <w:jc w:val="center"/>
      </w:pPr>
    </w:p>
    <w:p w14:paraId="31B0867E" w14:textId="77777777" w:rsidR="00CB7FBA" w:rsidRDefault="00CB7FBA" w:rsidP="00CB7FBA">
      <w:pPr>
        <w:pStyle w:val="GG-Signature"/>
        <w:pBdr>
          <w:top w:val="single" w:sz="4" w:space="1" w:color="auto"/>
        </w:pBdr>
        <w:spacing w:before="34" w:line="14" w:lineRule="exact"/>
        <w:jc w:val="center"/>
      </w:pPr>
    </w:p>
    <w:p w14:paraId="5C2466D7" w14:textId="77777777" w:rsidR="00CB7FBA" w:rsidRDefault="00CB7FBA" w:rsidP="00CB7FBA">
      <w:pPr>
        <w:pStyle w:val="GG-body"/>
        <w:spacing w:after="0"/>
      </w:pPr>
    </w:p>
    <w:p w14:paraId="15117071" w14:textId="5CABDAE6" w:rsidR="00694D0A" w:rsidRPr="007004B5" w:rsidRDefault="007004B5" w:rsidP="007004B5">
      <w:pPr>
        <w:pStyle w:val="Heading2"/>
      </w:pPr>
      <w:bookmarkStart w:id="5" w:name="_Toc191542971"/>
      <w:r w:rsidRPr="007004B5">
        <w:t>Appointments, Resignations and General Matters</w:t>
      </w:r>
      <w:bookmarkEnd w:id="5"/>
    </w:p>
    <w:p w14:paraId="523FDD08" w14:textId="77777777" w:rsidR="00CB7FBA" w:rsidRPr="001A09E2" w:rsidRDefault="00CB7FBA" w:rsidP="00CB7FBA">
      <w:pPr>
        <w:spacing w:after="0"/>
        <w:jc w:val="right"/>
        <w:rPr>
          <w:rFonts w:eastAsia="Times New Roman"/>
          <w:szCs w:val="17"/>
        </w:rPr>
      </w:pPr>
      <w:r w:rsidRPr="001A09E2">
        <w:rPr>
          <w:rFonts w:eastAsia="Times New Roman"/>
          <w:szCs w:val="17"/>
        </w:rPr>
        <w:t>Department of the Premier and Cabinet</w:t>
      </w:r>
    </w:p>
    <w:p w14:paraId="770F4EB3" w14:textId="77777777" w:rsidR="00CB7FBA" w:rsidRPr="001A09E2" w:rsidRDefault="00CB7FBA" w:rsidP="00CB7FBA">
      <w:pPr>
        <w:jc w:val="right"/>
        <w:rPr>
          <w:rFonts w:eastAsia="Times New Roman"/>
          <w:szCs w:val="17"/>
        </w:rPr>
      </w:pPr>
      <w:r w:rsidRPr="001A09E2">
        <w:rPr>
          <w:rFonts w:eastAsia="Times New Roman"/>
          <w:szCs w:val="17"/>
        </w:rPr>
        <w:t>Adelaide, 27 February 2025</w:t>
      </w:r>
    </w:p>
    <w:p w14:paraId="214B1E38" w14:textId="77777777" w:rsidR="00CB7FBA" w:rsidRPr="001A09E2" w:rsidRDefault="00CB7FBA" w:rsidP="00CB7FBA">
      <w:pPr>
        <w:rPr>
          <w:rFonts w:eastAsia="Times New Roman"/>
          <w:szCs w:val="17"/>
        </w:rPr>
      </w:pPr>
      <w:r w:rsidRPr="001A09E2">
        <w:rPr>
          <w:rFonts w:eastAsia="Times New Roman"/>
          <w:szCs w:val="17"/>
        </w:rPr>
        <w:t>Her Excellency the Governor in Executive Council has been pleased to appoint the undermentioned to the Return to Work Corporation of South Australia Board, pursuant to the provisions of the Return to Work Corporation of South Australia Act 1994:</w:t>
      </w:r>
    </w:p>
    <w:p w14:paraId="59D3011D" w14:textId="77777777" w:rsidR="00CB7FBA" w:rsidRPr="001A09E2" w:rsidRDefault="00CB7FBA" w:rsidP="00CB7FBA">
      <w:pPr>
        <w:spacing w:after="0"/>
        <w:ind w:left="142"/>
        <w:jc w:val="left"/>
        <w:rPr>
          <w:szCs w:val="17"/>
        </w:rPr>
      </w:pPr>
      <w:r w:rsidRPr="001A09E2">
        <w:rPr>
          <w:szCs w:val="17"/>
        </w:rPr>
        <w:t>Member: from 1 March 2025 until 29 February 2028</w:t>
      </w:r>
    </w:p>
    <w:p w14:paraId="0EDEAD46" w14:textId="77777777" w:rsidR="00CB7FBA" w:rsidRPr="001A09E2" w:rsidRDefault="00CB7FBA" w:rsidP="00CB7FBA">
      <w:pPr>
        <w:spacing w:line="240" w:lineRule="auto"/>
        <w:ind w:left="284"/>
        <w:jc w:val="left"/>
        <w:rPr>
          <w:szCs w:val="17"/>
        </w:rPr>
      </w:pPr>
      <w:r w:rsidRPr="001A09E2">
        <w:rPr>
          <w:szCs w:val="17"/>
        </w:rPr>
        <w:t>Greg McCarthy</w:t>
      </w:r>
    </w:p>
    <w:p w14:paraId="0FAA13F3" w14:textId="77777777" w:rsidR="00CB7FBA" w:rsidRPr="001A09E2" w:rsidRDefault="00CB7FBA" w:rsidP="00CB7FBA">
      <w:pPr>
        <w:spacing w:after="0"/>
        <w:ind w:left="142"/>
        <w:jc w:val="left"/>
        <w:rPr>
          <w:szCs w:val="17"/>
        </w:rPr>
      </w:pPr>
      <w:r w:rsidRPr="001A09E2">
        <w:rPr>
          <w:szCs w:val="17"/>
        </w:rPr>
        <w:t>Chair: from 1 March 2025 until 29 February 2028</w:t>
      </w:r>
    </w:p>
    <w:p w14:paraId="0ACC09A1" w14:textId="77777777" w:rsidR="00CB7FBA" w:rsidRPr="001A09E2" w:rsidRDefault="00CB7FBA" w:rsidP="00CB7FBA">
      <w:pPr>
        <w:spacing w:line="240" w:lineRule="auto"/>
        <w:ind w:left="284"/>
        <w:jc w:val="left"/>
        <w:rPr>
          <w:szCs w:val="17"/>
        </w:rPr>
      </w:pPr>
      <w:r w:rsidRPr="001A09E2">
        <w:rPr>
          <w:szCs w:val="17"/>
        </w:rPr>
        <w:t>Greg McCarthy</w:t>
      </w:r>
    </w:p>
    <w:p w14:paraId="509A0961" w14:textId="77777777" w:rsidR="00CB7FBA" w:rsidRPr="001A09E2" w:rsidRDefault="00CB7FBA" w:rsidP="00CB7FBA">
      <w:pPr>
        <w:spacing w:after="0"/>
        <w:ind w:left="142"/>
        <w:jc w:val="left"/>
        <w:rPr>
          <w:szCs w:val="17"/>
        </w:rPr>
      </w:pPr>
      <w:r w:rsidRPr="001A09E2">
        <w:rPr>
          <w:szCs w:val="17"/>
        </w:rPr>
        <w:t>Member: from 27 February 2025 until 26 February 2028</w:t>
      </w:r>
    </w:p>
    <w:p w14:paraId="4066A84D" w14:textId="77777777" w:rsidR="00CB7FBA" w:rsidRPr="001A09E2" w:rsidRDefault="00CB7FBA" w:rsidP="00CB7FBA">
      <w:pPr>
        <w:spacing w:after="240"/>
        <w:ind w:left="284"/>
        <w:contextualSpacing/>
        <w:jc w:val="left"/>
        <w:rPr>
          <w:szCs w:val="17"/>
        </w:rPr>
      </w:pPr>
      <w:r w:rsidRPr="001A09E2">
        <w:rPr>
          <w:szCs w:val="17"/>
        </w:rPr>
        <w:t>Elizabeth Diana Perry</w:t>
      </w:r>
    </w:p>
    <w:p w14:paraId="3D53788D" w14:textId="77777777" w:rsidR="00CB7FBA" w:rsidRPr="001A09E2" w:rsidRDefault="00CB7FBA" w:rsidP="00CB7FBA">
      <w:pPr>
        <w:spacing w:after="0"/>
        <w:jc w:val="center"/>
        <w:rPr>
          <w:szCs w:val="17"/>
        </w:rPr>
      </w:pPr>
      <w:r w:rsidRPr="001A09E2">
        <w:rPr>
          <w:szCs w:val="17"/>
        </w:rPr>
        <w:t>By command,</w:t>
      </w:r>
    </w:p>
    <w:p w14:paraId="46448640" w14:textId="77777777" w:rsidR="00CB7FBA" w:rsidRPr="001A09E2" w:rsidRDefault="00CB7FBA" w:rsidP="00CB7FBA">
      <w:pPr>
        <w:pStyle w:val="GG-SName"/>
      </w:pPr>
      <w:r w:rsidRPr="001A09E2">
        <w:t>Christopher James Picton, M</w:t>
      </w:r>
      <w:r>
        <w:t>P</w:t>
      </w:r>
    </w:p>
    <w:p w14:paraId="4DDF1499" w14:textId="77777777" w:rsidR="00CB7FBA" w:rsidRPr="001A09E2" w:rsidRDefault="00CB7FBA" w:rsidP="00CB7FBA">
      <w:pPr>
        <w:pStyle w:val="GG-Signature"/>
      </w:pPr>
      <w:r w:rsidRPr="001A09E2">
        <w:t>For Premier</w:t>
      </w:r>
    </w:p>
    <w:p w14:paraId="02261923" w14:textId="77777777" w:rsidR="00CB7FBA" w:rsidRDefault="00CB7FBA" w:rsidP="00CB7FBA">
      <w:pPr>
        <w:spacing w:after="0"/>
        <w:jc w:val="left"/>
        <w:rPr>
          <w:szCs w:val="17"/>
        </w:rPr>
      </w:pPr>
      <w:r w:rsidRPr="001A09E2">
        <w:rPr>
          <w:szCs w:val="17"/>
        </w:rPr>
        <w:t>AGO0027-25CS</w:t>
      </w:r>
    </w:p>
    <w:p w14:paraId="0A9F083E" w14:textId="77777777" w:rsidR="00CB7FBA" w:rsidRDefault="00CB7FBA" w:rsidP="00CB7FBA">
      <w:pPr>
        <w:pBdr>
          <w:bottom w:val="single" w:sz="4" w:space="1" w:color="auto"/>
        </w:pBdr>
        <w:spacing w:after="0" w:line="52" w:lineRule="exact"/>
        <w:jc w:val="center"/>
      </w:pPr>
    </w:p>
    <w:p w14:paraId="120BF2AB" w14:textId="77777777" w:rsidR="00CB7FBA" w:rsidRDefault="00CB7FBA" w:rsidP="00CB7FBA">
      <w:pPr>
        <w:pBdr>
          <w:top w:val="single" w:sz="4" w:space="1" w:color="auto"/>
        </w:pBdr>
        <w:spacing w:before="34" w:after="0" w:line="14" w:lineRule="exact"/>
        <w:jc w:val="center"/>
      </w:pPr>
    </w:p>
    <w:p w14:paraId="6F6940CF" w14:textId="77777777" w:rsidR="00CB7FBA" w:rsidRPr="003D4C75" w:rsidRDefault="00CB7FBA" w:rsidP="00CB7F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59134F74" w14:textId="77777777" w:rsidR="0063119A" w:rsidRDefault="0063119A" w:rsidP="005335F1">
      <w:pPr>
        <w:pStyle w:val="GG-body"/>
        <w:rPr>
          <w:lang w:val="en-US"/>
        </w:rPr>
      </w:pPr>
    </w:p>
    <w:p w14:paraId="54DBFC04" w14:textId="77777777" w:rsidR="00CC53FA" w:rsidRDefault="00CC53FA">
      <w:pPr>
        <w:spacing w:after="0" w:line="240" w:lineRule="auto"/>
        <w:jc w:val="left"/>
        <w:rPr>
          <w:rFonts w:eastAsia="Times New Roman"/>
          <w:szCs w:val="17"/>
          <w:lang w:val="en-US"/>
        </w:rPr>
      </w:pPr>
      <w:r>
        <w:rPr>
          <w:lang w:val="en-US"/>
        </w:rPr>
        <w:br w:type="page"/>
      </w:r>
    </w:p>
    <w:p w14:paraId="16600E5B" w14:textId="77777777" w:rsidR="00694D0A" w:rsidRDefault="00694D0A" w:rsidP="005335F1">
      <w:pPr>
        <w:pStyle w:val="Heading2"/>
      </w:pPr>
      <w:bookmarkStart w:id="6" w:name="_Toc33707979"/>
      <w:bookmarkStart w:id="7" w:name="_Toc33708150"/>
      <w:bookmarkStart w:id="8" w:name="_Toc191542972"/>
      <w:r>
        <w:lastRenderedPageBreak/>
        <w:t>Proclamations</w:t>
      </w:r>
      <w:bookmarkEnd w:id="6"/>
      <w:bookmarkEnd w:id="7"/>
      <w:bookmarkEnd w:id="8"/>
    </w:p>
    <w:p w14:paraId="4CA277FF" w14:textId="77777777" w:rsidR="00BD741A" w:rsidRPr="00BD741A" w:rsidRDefault="00BD741A" w:rsidP="00BD741A">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BD741A">
        <w:rPr>
          <w:rFonts w:eastAsia="Times New Roman"/>
          <w:color w:val="000000"/>
          <w:sz w:val="28"/>
          <w:szCs w:val="28"/>
          <w:lang w:eastAsia="en-AU"/>
          <w14:ligatures w14:val="standardContextual"/>
        </w:rPr>
        <w:t>South Australia</w:t>
      </w:r>
    </w:p>
    <w:p w14:paraId="0FE23E97" w14:textId="77777777" w:rsidR="00BD741A" w:rsidRPr="00BD741A" w:rsidRDefault="00BD741A" w:rsidP="00DB6374">
      <w:pPr>
        <w:pStyle w:val="Heading3"/>
        <w:rPr>
          <w:lang w:eastAsia="en-AU"/>
        </w:rPr>
      </w:pPr>
      <w:bookmarkStart w:id="9" w:name="_Toc191542973"/>
      <w:r w:rsidRPr="00BD741A">
        <w:rPr>
          <w:lang w:eastAsia="en-AU"/>
        </w:rPr>
        <w:t>Greyhound Industry Reform Inspector Act (Commencement) Proclamation 2025</w:t>
      </w:r>
      <w:bookmarkEnd w:id="9"/>
    </w:p>
    <w:p w14:paraId="7587EF3C" w14:textId="77777777" w:rsidR="00BD741A" w:rsidRPr="00BD741A" w:rsidRDefault="00BD741A" w:rsidP="00BD74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D741A">
        <w:rPr>
          <w:rFonts w:eastAsia="Times New Roman"/>
          <w:b/>
          <w:bCs/>
          <w:color w:val="000000"/>
          <w:sz w:val="26"/>
          <w:szCs w:val="26"/>
          <w:lang w:eastAsia="en-AU"/>
          <w14:ligatures w14:val="standardContextual"/>
        </w:rPr>
        <w:t>1—Short title</w:t>
      </w:r>
    </w:p>
    <w:p w14:paraId="7AF1BC77" w14:textId="77777777" w:rsidR="00BD741A" w:rsidRPr="00BD741A" w:rsidRDefault="00BD741A" w:rsidP="00BD741A">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D741A">
        <w:rPr>
          <w:rFonts w:eastAsia="Times New Roman"/>
          <w:color w:val="000000"/>
          <w:sz w:val="23"/>
          <w:szCs w:val="23"/>
          <w:lang w:eastAsia="en-AU"/>
          <w14:ligatures w14:val="standardContextual"/>
        </w:rPr>
        <w:t xml:space="preserve">This proclamation may be cited as the </w:t>
      </w:r>
      <w:r w:rsidRPr="00BD741A">
        <w:rPr>
          <w:rFonts w:eastAsia="Times New Roman"/>
          <w:i/>
          <w:iCs/>
          <w:color w:val="000000"/>
          <w:sz w:val="23"/>
          <w:szCs w:val="23"/>
          <w:lang w:eastAsia="en-AU"/>
          <w14:ligatures w14:val="standardContextual"/>
        </w:rPr>
        <w:t>Greyhound Industry Reform Inspector Act (Commencement) Proclamation 2025</w:t>
      </w:r>
      <w:r w:rsidRPr="00BD741A">
        <w:rPr>
          <w:rFonts w:eastAsia="Times New Roman"/>
          <w:color w:val="000000"/>
          <w:sz w:val="23"/>
          <w:szCs w:val="23"/>
          <w:lang w:eastAsia="en-AU"/>
          <w14:ligatures w14:val="standardContextual"/>
        </w:rPr>
        <w:t>.</w:t>
      </w:r>
    </w:p>
    <w:p w14:paraId="26D8222F" w14:textId="77777777" w:rsidR="00BD741A" w:rsidRPr="00BD741A" w:rsidRDefault="00BD741A" w:rsidP="00BD74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D741A">
        <w:rPr>
          <w:rFonts w:eastAsia="Times New Roman"/>
          <w:b/>
          <w:bCs/>
          <w:color w:val="000000"/>
          <w:sz w:val="26"/>
          <w:szCs w:val="26"/>
          <w:lang w:eastAsia="en-AU"/>
          <w14:ligatures w14:val="standardContextual"/>
        </w:rPr>
        <w:t>2—Commencement of Act</w:t>
      </w:r>
    </w:p>
    <w:p w14:paraId="4CA42FC7" w14:textId="77777777" w:rsidR="00BD741A" w:rsidRPr="00BD741A" w:rsidRDefault="00BD741A" w:rsidP="00BD741A">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D741A">
        <w:rPr>
          <w:rFonts w:eastAsia="Times New Roman"/>
          <w:color w:val="000000"/>
          <w:sz w:val="23"/>
          <w:szCs w:val="23"/>
          <w:lang w:eastAsia="en-AU"/>
          <w14:ligatures w14:val="standardContextual"/>
        </w:rPr>
        <w:t xml:space="preserve">The </w:t>
      </w:r>
      <w:hyperlink r:id="rId17" w:history="1">
        <w:r w:rsidRPr="00BD741A">
          <w:rPr>
            <w:rFonts w:eastAsia="Times New Roman"/>
            <w:i/>
            <w:iCs/>
            <w:color w:val="000000"/>
            <w:sz w:val="23"/>
            <w:szCs w:val="23"/>
            <w:lang w:eastAsia="en-AU"/>
            <w14:ligatures w14:val="standardContextual"/>
          </w:rPr>
          <w:t>Greyhound Industry Reform Inspector Act 2024</w:t>
        </w:r>
      </w:hyperlink>
      <w:r w:rsidRPr="00BD741A">
        <w:rPr>
          <w:rFonts w:eastAsia="Times New Roman"/>
          <w:color w:val="000000"/>
          <w:sz w:val="23"/>
          <w:szCs w:val="23"/>
          <w:lang w:eastAsia="en-AU"/>
          <w14:ligatures w14:val="standardContextual"/>
        </w:rPr>
        <w:t xml:space="preserve"> (No 63 of 2024) comes into operation on 27 February 2025.</w:t>
      </w:r>
    </w:p>
    <w:p w14:paraId="51C9C2CD" w14:textId="77777777" w:rsidR="00BD741A" w:rsidRPr="00BD741A" w:rsidRDefault="00BD741A" w:rsidP="00BD741A">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BD741A">
        <w:rPr>
          <w:rFonts w:eastAsia="Times New Roman"/>
          <w:b/>
          <w:bCs/>
          <w:color w:val="000000"/>
          <w:sz w:val="26"/>
          <w:szCs w:val="26"/>
          <w:lang w:eastAsia="en-AU"/>
          <w14:ligatures w14:val="standardContextual"/>
        </w:rPr>
        <w:t>Made by the Governor</w:t>
      </w:r>
    </w:p>
    <w:p w14:paraId="444326B0" w14:textId="77777777" w:rsidR="00BD741A" w:rsidRPr="00BD741A" w:rsidRDefault="00BD741A" w:rsidP="00BD741A">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BD741A">
        <w:rPr>
          <w:rFonts w:eastAsia="Times New Roman"/>
          <w:color w:val="000000"/>
          <w:sz w:val="23"/>
          <w:szCs w:val="23"/>
          <w:lang w:eastAsia="en-AU"/>
          <w14:ligatures w14:val="standardContextual"/>
        </w:rPr>
        <w:t>with the advice and consent of the Executive Council</w:t>
      </w:r>
    </w:p>
    <w:p w14:paraId="5F2FFD36" w14:textId="77777777" w:rsidR="00BD741A" w:rsidRPr="00BD741A" w:rsidRDefault="00BD741A" w:rsidP="00BD741A">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BD741A">
        <w:rPr>
          <w:rFonts w:eastAsia="Times New Roman"/>
          <w:color w:val="000000"/>
          <w:sz w:val="23"/>
          <w:szCs w:val="23"/>
          <w:lang w:eastAsia="en-AU"/>
          <w14:ligatures w14:val="standardContextual"/>
        </w:rPr>
        <w:t>on 27 February 2025</w:t>
      </w:r>
    </w:p>
    <w:p w14:paraId="7E1377EC" w14:textId="77777777" w:rsidR="00694D0A" w:rsidRDefault="00694D0A" w:rsidP="005335F1">
      <w:pPr>
        <w:pStyle w:val="GG-body"/>
        <w:rPr>
          <w:lang w:val="en-US"/>
        </w:rPr>
      </w:pPr>
    </w:p>
    <w:p w14:paraId="464F87A4" w14:textId="77777777" w:rsidR="00BD741A" w:rsidRDefault="00BD741A" w:rsidP="005335F1">
      <w:pPr>
        <w:pStyle w:val="GG-body"/>
        <w:rPr>
          <w:lang w:val="en-US"/>
        </w:rPr>
      </w:pPr>
    </w:p>
    <w:p w14:paraId="28B091A6" w14:textId="77777777" w:rsidR="00BD741A" w:rsidRDefault="00BD741A" w:rsidP="005335F1">
      <w:pPr>
        <w:pStyle w:val="GG-body"/>
        <w:rPr>
          <w:lang w:val="en-US"/>
        </w:rPr>
      </w:pPr>
    </w:p>
    <w:p w14:paraId="2B5AA7C5" w14:textId="77777777" w:rsidR="00BD741A" w:rsidRDefault="00BD741A" w:rsidP="005335F1">
      <w:pPr>
        <w:pStyle w:val="GG-body"/>
        <w:rPr>
          <w:lang w:val="en-US"/>
        </w:rPr>
      </w:pPr>
    </w:p>
    <w:p w14:paraId="4200D0AB" w14:textId="77777777" w:rsidR="00BD741A" w:rsidRPr="00BD741A" w:rsidRDefault="00BD741A" w:rsidP="00BD741A">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BD741A">
        <w:rPr>
          <w:rFonts w:eastAsia="Times New Roman"/>
          <w:color w:val="000000"/>
          <w:sz w:val="28"/>
          <w:szCs w:val="28"/>
          <w:lang w:eastAsia="en-AU"/>
          <w14:ligatures w14:val="standardContextual"/>
        </w:rPr>
        <w:t>South Australia</w:t>
      </w:r>
    </w:p>
    <w:p w14:paraId="3451FD26" w14:textId="77777777" w:rsidR="00BD741A" w:rsidRPr="00BD741A" w:rsidRDefault="00BD741A" w:rsidP="00DB6374">
      <w:pPr>
        <w:pStyle w:val="Heading3"/>
        <w:rPr>
          <w:lang w:eastAsia="en-AU"/>
        </w:rPr>
      </w:pPr>
      <w:bookmarkStart w:id="10" w:name="_Toc191542974"/>
      <w:r w:rsidRPr="00BD741A">
        <w:rPr>
          <w:lang w:eastAsia="en-AU"/>
        </w:rPr>
        <w:t>Administrative Arrangements (Administration of Greyhound Industry Reform Inspector Act) Proclamation 2025</w:t>
      </w:r>
      <w:bookmarkEnd w:id="10"/>
    </w:p>
    <w:p w14:paraId="48696A27" w14:textId="77777777" w:rsidR="00BD741A" w:rsidRPr="00BD741A" w:rsidRDefault="00BD741A" w:rsidP="00BD741A">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BD741A">
        <w:rPr>
          <w:rFonts w:eastAsia="Times New Roman"/>
          <w:color w:val="000000"/>
          <w:sz w:val="24"/>
          <w:szCs w:val="24"/>
          <w:lang w:eastAsia="en-AU"/>
          <w14:ligatures w14:val="standardContextual"/>
        </w:rPr>
        <w:t xml:space="preserve">under section 5 of the </w:t>
      </w:r>
      <w:r w:rsidRPr="00BD741A">
        <w:rPr>
          <w:rFonts w:eastAsia="Times New Roman"/>
          <w:i/>
          <w:iCs/>
          <w:color w:val="000000"/>
          <w:sz w:val="24"/>
          <w:szCs w:val="24"/>
          <w:lang w:eastAsia="en-AU"/>
          <w14:ligatures w14:val="standardContextual"/>
        </w:rPr>
        <w:t>Administrative Arrangements Act 1994</w:t>
      </w:r>
    </w:p>
    <w:p w14:paraId="0F1A41B9" w14:textId="77777777" w:rsidR="00BD741A" w:rsidRPr="00BD741A" w:rsidRDefault="00BD741A" w:rsidP="00BD74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D741A">
        <w:rPr>
          <w:rFonts w:eastAsia="Times New Roman"/>
          <w:b/>
          <w:bCs/>
          <w:color w:val="000000"/>
          <w:sz w:val="26"/>
          <w:szCs w:val="26"/>
          <w:lang w:eastAsia="en-AU"/>
          <w14:ligatures w14:val="standardContextual"/>
        </w:rPr>
        <w:t>1—Short title</w:t>
      </w:r>
    </w:p>
    <w:p w14:paraId="7D580ABA" w14:textId="77777777" w:rsidR="00BD741A" w:rsidRPr="00BD741A" w:rsidRDefault="00BD741A" w:rsidP="00BD741A">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D741A">
        <w:rPr>
          <w:rFonts w:eastAsia="Times New Roman"/>
          <w:color w:val="000000"/>
          <w:sz w:val="23"/>
          <w:szCs w:val="23"/>
          <w:lang w:eastAsia="en-AU"/>
          <w14:ligatures w14:val="standardContextual"/>
        </w:rPr>
        <w:t xml:space="preserve">This proclamation may be cited as the </w:t>
      </w:r>
      <w:r w:rsidRPr="00BD741A">
        <w:rPr>
          <w:rFonts w:eastAsia="Times New Roman"/>
          <w:i/>
          <w:iCs/>
          <w:color w:val="000000"/>
          <w:sz w:val="23"/>
          <w:szCs w:val="23"/>
          <w:lang w:eastAsia="en-AU"/>
          <w14:ligatures w14:val="standardContextual"/>
        </w:rPr>
        <w:t>Administrative Arrangements (Administration of Greyhound Industry Reform Inspector Act) Proclamation 2025</w:t>
      </w:r>
      <w:r w:rsidRPr="00BD741A">
        <w:rPr>
          <w:rFonts w:eastAsia="Times New Roman"/>
          <w:color w:val="000000"/>
          <w:sz w:val="23"/>
          <w:szCs w:val="23"/>
          <w:lang w:eastAsia="en-AU"/>
          <w14:ligatures w14:val="standardContextual"/>
        </w:rPr>
        <w:t>.</w:t>
      </w:r>
    </w:p>
    <w:p w14:paraId="35A08E70" w14:textId="77777777" w:rsidR="00BD741A" w:rsidRPr="00BD741A" w:rsidRDefault="00BD741A" w:rsidP="00BD74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D741A">
        <w:rPr>
          <w:rFonts w:eastAsia="Times New Roman"/>
          <w:b/>
          <w:bCs/>
          <w:color w:val="000000"/>
          <w:sz w:val="26"/>
          <w:szCs w:val="26"/>
          <w:lang w:eastAsia="en-AU"/>
          <w14:ligatures w14:val="standardContextual"/>
        </w:rPr>
        <w:t>2—Commencement</w:t>
      </w:r>
    </w:p>
    <w:p w14:paraId="6B8524BE" w14:textId="77777777" w:rsidR="00BD741A" w:rsidRPr="00BD741A" w:rsidRDefault="00BD741A" w:rsidP="00BD741A">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D741A">
        <w:rPr>
          <w:rFonts w:eastAsia="Times New Roman"/>
          <w:color w:val="000000"/>
          <w:sz w:val="23"/>
          <w:szCs w:val="23"/>
          <w:lang w:eastAsia="en-AU"/>
          <w14:ligatures w14:val="standardContextual"/>
        </w:rPr>
        <w:t>This proclamation comes into operation on the day on which it is made.</w:t>
      </w:r>
    </w:p>
    <w:p w14:paraId="6DDF86DB" w14:textId="77777777" w:rsidR="00BD741A" w:rsidRPr="00BD741A" w:rsidRDefault="00BD741A" w:rsidP="00BD74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D741A">
        <w:rPr>
          <w:rFonts w:eastAsia="Times New Roman"/>
          <w:b/>
          <w:bCs/>
          <w:color w:val="000000"/>
          <w:sz w:val="26"/>
          <w:szCs w:val="26"/>
          <w:lang w:eastAsia="en-AU"/>
          <w14:ligatures w14:val="standardContextual"/>
        </w:rPr>
        <w:t>3—Administration of Act committed to Minister for Recreation, Sport and Racing</w:t>
      </w:r>
    </w:p>
    <w:p w14:paraId="334566E3" w14:textId="77777777" w:rsidR="00BD741A" w:rsidRPr="00BD741A" w:rsidRDefault="00BD741A" w:rsidP="00BD741A">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D741A">
        <w:rPr>
          <w:rFonts w:eastAsia="Times New Roman"/>
          <w:color w:val="000000"/>
          <w:sz w:val="23"/>
          <w:szCs w:val="23"/>
          <w:lang w:eastAsia="en-AU"/>
          <w14:ligatures w14:val="standardContextual"/>
        </w:rPr>
        <w:t xml:space="preserve">The Administration of the </w:t>
      </w:r>
      <w:hyperlink r:id="rId18" w:history="1">
        <w:r w:rsidRPr="00BD741A">
          <w:rPr>
            <w:rFonts w:eastAsia="Times New Roman"/>
            <w:i/>
            <w:iCs/>
            <w:color w:val="000000"/>
            <w:sz w:val="23"/>
            <w:szCs w:val="23"/>
            <w:lang w:eastAsia="en-AU"/>
            <w14:ligatures w14:val="standardContextual"/>
          </w:rPr>
          <w:t>Greyhound Industry Reform Inspector Act 2024</w:t>
        </w:r>
      </w:hyperlink>
      <w:r w:rsidRPr="00BD741A">
        <w:rPr>
          <w:rFonts w:eastAsia="Times New Roman"/>
          <w:color w:val="000000"/>
          <w:sz w:val="23"/>
          <w:szCs w:val="23"/>
          <w:lang w:eastAsia="en-AU"/>
          <w14:ligatures w14:val="standardContextual"/>
        </w:rPr>
        <w:t xml:space="preserve"> is committed to the Minister for Recreation, Sport and Racing.</w:t>
      </w:r>
    </w:p>
    <w:p w14:paraId="0888D887" w14:textId="77777777" w:rsidR="00BD741A" w:rsidRPr="00BD741A" w:rsidRDefault="00BD741A" w:rsidP="00BD741A">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BD741A">
        <w:rPr>
          <w:rFonts w:eastAsia="Times New Roman"/>
          <w:b/>
          <w:bCs/>
          <w:color w:val="000000"/>
          <w:sz w:val="26"/>
          <w:szCs w:val="26"/>
          <w:lang w:eastAsia="en-AU"/>
          <w14:ligatures w14:val="standardContextual"/>
        </w:rPr>
        <w:t>Made by the Governor</w:t>
      </w:r>
    </w:p>
    <w:p w14:paraId="04E76027" w14:textId="77777777" w:rsidR="00BD741A" w:rsidRPr="00BD741A" w:rsidRDefault="00BD741A" w:rsidP="00BD741A">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BD741A">
        <w:rPr>
          <w:rFonts w:eastAsia="Times New Roman"/>
          <w:color w:val="000000"/>
          <w:sz w:val="23"/>
          <w:szCs w:val="23"/>
          <w:lang w:eastAsia="en-AU"/>
          <w14:ligatures w14:val="standardContextual"/>
        </w:rPr>
        <w:t>with the advice and consent of the Executive Council</w:t>
      </w:r>
    </w:p>
    <w:p w14:paraId="3B6078FB" w14:textId="77777777" w:rsidR="00BD741A" w:rsidRPr="00BD741A" w:rsidRDefault="00BD741A" w:rsidP="00BD741A">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BD741A">
        <w:rPr>
          <w:rFonts w:eastAsia="Times New Roman"/>
          <w:color w:val="000000"/>
          <w:sz w:val="23"/>
          <w:szCs w:val="23"/>
          <w:lang w:eastAsia="en-AU"/>
          <w14:ligatures w14:val="standardContextual"/>
        </w:rPr>
        <w:t>on 27 February 2025</w:t>
      </w:r>
    </w:p>
    <w:p w14:paraId="0BBBE304" w14:textId="77777777" w:rsidR="00BD741A" w:rsidRDefault="00BD741A" w:rsidP="005335F1">
      <w:pPr>
        <w:pStyle w:val="GG-body"/>
        <w:rPr>
          <w:lang w:val="en-US"/>
        </w:rPr>
      </w:pPr>
    </w:p>
    <w:p w14:paraId="4BEC81C9" w14:textId="77777777" w:rsidR="005E631C" w:rsidRDefault="005E631C">
      <w:pPr>
        <w:spacing w:after="0" w:line="240" w:lineRule="auto"/>
        <w:jc w:val="left"/>
        <w:rPr>
          <w:rFonts w:eastAsia="Times New Roman"/>
          <w:szCs w:val="17"/>
          <w:lang w:val="en-US"/>
        </w:rPr>
      </w:pPr>
      <w:r>
        <w:rPr>
          <w:lang w:val="en-US"/>
        </w:rPr>
        <w:br w:type="page"/>
      </w:r>
    </w:p>
    <w:p w14:paraId="6A7A6605" w14:textId="77777777" w:rsidR="009D1E2E" w:rsidRPr="009D1E2E" w:rsidRDefault="009D1E2E" w:rsidP="0043001F">
      <w:pPr>
        <w:pStyle w:val="Heading1"/>
      </w:pPr>
      <w:bookmarkStart w:id="11" w:name="_Toc33707981"/>
      <w:bookmarkStart w:id="12" w:name="_Toc33708152"/>
      <w:bookmarkStart w:id="13" w:name="_Toc191542975"/>
      <w:r w:rsidRPr="009D1E2E">
        <w:lastRenderedPageBreak/>
        <w:t>Rules of Court</w:t>
      </w:r>
      <w:bookmarkEnd w:id="11"/>
      <w:bookmarkEnd w:id="12"/>
      <w:bookmarkEnd w:id="13"/>
    </w:p>
    <w:p w14:paraId="575544F5" w14:textId="70C45E3B" w:rsidR="00260D97" w:rsidRPr="001B1F25" w:rsidRDefault="007004B5" w:rsidP="007004B5">
      <w:pPr>
        <w:pStyle w:val="Heading2"/>
      </w:pPr>
      <w:bookmarkStart w:id="14" w:name="_Toc191542976"/>
      <w:r w:rsidRPr="001B1F25">
        <w:t>Legal Practitioners Act 1981</w:t>
      </w:r>
      <w:bookmarkEnd w:id="14"/>
    </w:p>
    <w:p w14:paraId="7D4346CA" w14:textId="77777777" w:rsidR="00260D97" w:rsidRPr="001B1F25" w:rsidRDefault="00260D97" w:rsidP="00260D97">
      <w:pPr>
        <w:pStyle w:val="GG-Title2"/>
      </w:pPr>
      <w:r w:rsidRPr="001B1F25">
        <w:t>South Australia</w:t>
      </w:r>
    </w:p>
    <w:p w14:paraId="18FFA0C8" w14:textId="77777777" w:rsidR="00260D97" w:rsidRPr="001B1F25" w:rsidRDefault="00260D97" w:rsidP="00260D97">
      <w:pPr>
        <w:pStyle w:val="GG-Title3"/>
      </w:pPr>
      <w:r w:rsidRPr="001B1F25">
        <w:t>Legal Practitioners Education and Admission Council Rules Amending Rules 2025</w:t>
      </w:r>
    </w:p>
    <w:p w14:paraId="21C7D3A1" w14:textId="77777777" w:rsidR="00260D97" w:rsidRPr="001B1F25" w:rsidRDefault="00260D97" w:rsidP="00260D97">
      <w:pPr>
        <w:pStyle w:val="GG-body"/>
        <w:spacing w:after="60"/>
        <w:ind w:left="284" w:hanging="284"/>
      </w:pPr>
      <w:r w:rsidRPr="001B1F25">
        <w:t>1.</w:t>
      </w:r>
      <w:r w:rsidRPr="001B1F25">
        <w:tab/>
        <w:t xml:space="preserve">These Rules may be cited as the </w:t>
      </w:r>
      <w:r w:rsidRPr="001B1F25">
        <w:rPr>
          <w:i/>
          <w:iCs/>
        </w:rPr>
        <w:t>Legal Practitioners Education and Admission Council Rules Amending Rules 2025</w:t>
      </w:r>
      <w:r w:rsidRPr="001B1F25">
        <w:t>.</w:t>
      </w:r>
    </w:p>
    <w:p w14:paraId="0A0E7918" w14:textId="77777777" w:rsidR="00260D97" w:rsidRPr="001B1F25" w:rsidRDefault="00260D97" w:rsidP="00260D97">
      <w:pPr>
        <w:pStyle w:val="GG-body"/>
        <w:spacing w:after="60"/>
        <w:ind w:left="284" w:hanging="284"/>
      </w:pPr>
      <w:r w:rsidRPr="001B1F25">
        <w:t>2.</w:t>
      </w:r>
      <w:r w:rsidRPr="001B1F25">
        <w:tab/>
        <w:t>The amendments made by these Rules come into effect four months after the day on which they are made.</w:t>
      </w:r>
    </w:p>
    <w:p w14:paraId="68484AA2" w14:textId="77777777" w:rsidR="00260D97" w:rsidRPr="001B1F25" w:rsidRDefault="00260D97" w:rsidP="00260D97">
      <w:pPr>
        <w:pStyle w:val="GG-body"/>
        <w:spacing w:after="60"/>
        <w:ind w:left="284" w:hanging="284"/>
      </w:pPr>
      <w:r w:rsidRPr="001B1F25">
        <w:t>3.</w:t>
      </w:r>
      <w:r w:rsidRPr="001B1F25">
        <w:tab/>
        <w:t>Rule 10(1)(c) is deleted and a new Rule 10(1)(c) is inserted as follows:</w:t>
      </w:r>
    </w:p>
    <w:p w14:paraId="38641C8B" w14:textId="77777777" w:rsidR="00260D97" w:rsidRPr="001B1F25" w:rsidRDefault="00260D97" w:rsidP="00260D97">
      <w:pPr>
        <w:pStyle w:val="GG-body"/>
        <w:spacing w:after="60"/>
        <w:ind w:left="709" w:hanging="425"/>
      </w:pPr>
      <w:r>
        <w:t>“</w:t>
      </w:r>
      <w:r w:rsidRPr="001B1F25">
        <w:t>(c)</w:t>
      </w:r>
      <w:r w:rsidRPr="001B1F25">
        <w:tab/>
        <w:t>Category C: an employee practising certificate which enables the practitioner to undertake:</w:t>
      </w:r>
    </w:p>
    <w:p w14:paraId="73A7C55A" w14:textId="77777777" w:rsidR="00260D97" w:rsidRPr="001B1F25" w:rsidRDefault="00260D97" w:rsidP="00260D97">
      <w:pPr>
        <w:pStyle w:val="GG-body"/>
        <w:spacing w:after="60"/>
        <w:ind w:left="993" w:hanging="284"/>
      </w:pPr>
      <w:r w:rsidRPr="001B1F25">
        <w:t>(</w:t>
      </w:r>
      <w:proofErr w:type="spellStart"/>
      <w:r w:rsidRPr="001B1F25">
        <w:t>i</w:t>
      </w:r>
      <w:proofErr w:type="spellEnd"/>
      <w:r w:rsidRPr="001B1F25">
        <w:t>)</w:t>
      </w:r>
      <w:r w:rsidRPr="001B1F25">
        <w:tab/>
        <w:t xml:space="preserve">work of an employed practitioner on a supervised basis pursuant to rule 11 (a </w:t>
      </w:r>
      <w:r w:rsidRPr="001B1F25">
        <w:rPr>
          <w:b/>
          <w:bCs/>
          <w:i/>
          <w:iCs/>
        </w:rPr>
        <w:t>restricted practising certificate</w:t>
      </w:r>
      <w:r w:rsidRPr="001B1F25">
        <w:t>); and</w:t>
      </w:r>
    </w:p>
    <w:p w14:paraId="064B0B21" w14:textId="77777777" w:rsidR="00260D97" w:rsidRPr="001B1F25" w:rsidRDefault="00260D97" w:rsidP="00260D97">
      <w:pPr>
        <w:pStyle w:val="GG-body"/>
        <w:spacing w:after="60"/>
        <w:ind w:left="993" w:hanging="284"/>
      </w:pPr>
      <w:r w:rsidRPr="001B1F25">
        <w:t>(ii)</w:t>
      </w:r>
      <w:r w:rsidRPr="001B1F25">
        <w:tab/>
        <w:t xml:space="preserve">on certification by the Board of Examiners that the practitioner has satisfied rule 11, as an employed practitioner and as a volunteer for a community legal centre or for an institution or project approved by LPEAC where the practitioner is covered by professional indemnity insurance (an </w:t>
      </w:r>
      <w:r w:rsidRPr="001B1F25">
        <w:rPr>
          <w:b/>
          <w:bCs/>
          <w:i/>
          <w:iCs/>
        </w:rPr>
        <w:t>unrestricted Category C practising certificate</w:t>
      </w:r>
      <w:r w:rsidRPr="001B1F25">
        <w:t>);</w:t>
      </w:r>
      <w:r>
        <w:t>”</w:t>
      </w:r>
    </w:p>
    <w:p w14:paraId="07F6A72A" w14:textId="77777777" w:rsidR="00260D97" w:rsidRPr="001B1F25" w:rsidRDefault="00260D97" w:rsidP="00260D97">
      <w:pPr>
        <w:pStyle w:val="GG-body"/>
        <w:spacing w:after="60"/>
        <w:ind w:left="284" w:hanging="284"/>
      </w:pPr>
      <w:r w:rsidRPr="001B1F25">
        <w:t>4.</w:t>
      </w:r>
      <w:r w:rsidRPr="001B1F25">
        <w:tab/>
        <w:t>Rule 12A is repealed.</w:t>
      </w:r>
    </w:p>
    <w:p w14:paraId="1C77B640" w14:textId="77777777" w:rsidR="00260D97" w:rsidRPr="001B1F25" w:rsidRDefault="00260D97" w:rsidP="00260D97">
      <w:pPr>
        <w:pStyle w:val="GG-body"/>
        <w:spacing w:after="60"/>
        <w:ind w:left="284" w:hanging="284"/>
      </w:pPr>
      <w:r w:rsidRPr="001B1F25">
        <w:t>5.</w:t>
      </w:r>
      <w:r w:rsidRPr="001B1F25">
        <w:tab/>
        <w:t>Appendix D is amended:</w:t>
      </w:r>
    </w:p>
    <w:p w14:paraId="37976D5F" w14:textId="77777777" w:rsidR="00260D97" w:rsidRPr="001B1F25" w:rsidRDefault="00260D97" w:rsidP="00260D97">
      <w:pPr>
        <w:pStyle w:val="GG-body"/>
        <w:spacing w:after="60"/>
        <w:ind w:left="709" w:hanging="425"/>
      </w:pPr>
      <w:r w:rsidRPr="001B1F25">
        <w:t>(a)</w:t>
      </w:r>
      <w:r w:rsidRPr="001B1F25">
        <w:tab/>
        <w:t>by deleting the words:</w:t>
      </w:r>
    </w:p>
    <w:p w14:paraId="474BB139" w14:textId="77777777" w:rsidR="00260D97" w:rsidRPr="00294225" w:rsidRDefault="00260D97" w:rsidP="00260D97">
      <w:pPr>
        <w:pStyle w:val="GG-body"/>
        <w:spacing w:after="60"/>
        <w:ind w:left="1134" w:hanging="425"/>
        <w:jc w:val="center"/>
        <w:rPr>
          <w:b/>
          <w:lang w:val="en-US"/>
        </w:rPr>
      </w:pPr>
      <w:bookmarkStart w:id="15" w:name="_Toc522106944"/>
      <w:bookmarkStart w:id="16" w:name="_Toc522865034"/>
      <w:bookmarkStart w:id="17" w:name="_Toc522014146"/>
      <w:r w:rsidRPr="00967E03">
        <w:rPr>
          <w:bCs/>
        </w:rPr>
        <w:t>“</w:t>
      </w:r>
      <w:r w:rsidRPr="00294225">
        <w:rPr>
          <w:b/>
        </w:rPr>
        <w:t>LAW ADMISSIONS CONSULTATIVE COMMITTEE</w:t>
      </w:r>
      <w:r w:rsidRPr="00294225">
        <w:rPr>
          <w:b/>
          <w:vertAlign w:val="superscript"/>
        </w:rPr>
        <w:footnoteReference w:id="1"/>
      </w:r>
      <w:bookmarkEnd w:id="15"/>
      <w:bookmarkEnd w:id="16"/>
    </w:p>
    <w:p w14:paraId="3DDABE22" w14:textId="77777777" w:rsidR="00260D97" w:rsidRPr="00294225" w:rsidRDefault="00260D97" w:rsidP="00260D97">
      <w:pPr>
        <w:pStyle w:val="GG-body"/>
        <w:spacing w:after="60"/>
        <w:ind w:left="709" w:hanging="425"/>
        <w:jc w:val="center"/>
        <w:rPr>
          <w:b/>
        </w:rPr>
      </w:pPr>
      <w:bookmarkStart w:id="18" w:name="_Toc522106945"/>
      <w:r w:rsidRPr="00294225">
        <w:rPr>
          <w:b/>
        </w:rPr>
        <w:t>DISCLOSURE GUIDELINES</w:t>
      </w:r>
      <w:bookmarkEnd w:id="18"/>
    </w:p>
    <w:p w14:paraId="0BBD03CF" w14:textId="77777777" w:rsidR="00260D97" w:rsidRPr="00294225" w:rsidRDefault="00260D97" w:rsidP="00260D97">
      <w:pPr>
        <w:pStyle w:val="GG-body"/>
        <w:spacing w:after="60"/>
        <w:jc w:val="center"/>
        <w:rPr>
          <w:b/>
        </w:rPr>
      </w:pPr>
      <w:bookmarkStart w:id="19" w:name="_Toc522106946"/>
      <w:r w:rsidRPr="00294225">
        <w:rPr>
          <w:b/>
        </w:rPr>
        <w:t>FOR APPLICANTS FOR ADMISSION</w:t>
      </w:r>
      <w:bookmarkEnd w:id="17"/>
      <w:r w:rsidRPr="00294225">
        <w:rPr>
          <w:b/>
        </w:rPr>
        <w:t xml:space="preserve"> TO THE LEGAL PROFESSION</w:t>
      </w:r>
      <w:bookmarkEnd w:id="19"/>
    </w:p>
    <w:p w14:paraId="6D47CD6D" w14:textId="77777777" w:rsidR="00260D97" w:rsidRPr="00294225" w:rsidRDefault="00260D97" w:rsidP="00260D97">
      <w:pPr>
        <w:pStyle w:val="GG-body"/>
        <w:spacing w:after="60"/>
        <w:ind w:left="567" w:hanging="425"/>
        <w:rPr>
          <w:b/>
        </w:rPr>
      </w:pPr>
      <w:r w:rsidRPr="001B1F25">
        <w:rPr>
          <w:b/>
        </w:rPr>
        <w:t>Caution:</w:t>
      </w:r>
    </w:p>
    <w:p w14:paraId="76A0B565" w14:textId="77777777" w:rsidR="00260D97" w:rsidRPr="001B1F25" w:rsidRDefault="00260D97" w:rsidP="00260D97">
      <w:pPr>
        <w:pStyle w:val="GG-body"/>
        <w:ind w:left="284"/>
      </w:pPr>
      <w:r w:rsidRPr="001B1F25">
        <w:t xml:space="preserve">The Appendix to this document refers to legislation which applies in New South Wales and Victoria. Every other Admitting Authority </w:t>
      </w:r>
      <w:r w:rsidRPr="00691E63">
        <w:rPr>
          <w:spacing w:val="-2"/>
        </w:rPr>
        <w:t>may need to make minor adjustments to this document accurately to reflect variations in both the legislation and admission arrangements</w:t>
      </w:r>
      <w:r w:rsidRPr="001B1F25">
        <w:t xml:space="preserve"> in that jurisdiction.</w:t>
      </w:r>
    </w:p>
    <w:p w14:paraId="0E5BEBFD" w14:textId="77777777" w:rsidR="00260D97" w:rsidRPr="001B1F25" w:rsidRDefault="00260D97" w:rsidP="00260D97">
      <w:pPr>
        <w:pStyle w:val="GG-body"/>
        <w:ind w:left="284"/>
      </w:pPr>
      <w:r w:rsidRPr="001B1F25">
        <w:t>Applicants are therefore advised to consult any version of the attached Guidelines approved by the Admitting Authority in the jurisdiction in which admission is sought.</w:t>
      </w:r>
    </w:p>
    <w:p w14:paraId="77790BF8" w14:textId="77777777" w:rsidR="00260D97" w:rsidRDefault="00260D97" w:rsidP="00260D97">
      <w:pPr>
        <w:pStyle w:val="GG-body"/>
        <w:spacing w:after="60"/>
        <w:ind w:left="284" w:hanging="278"/>
        <w:rPr>
          <w:b/>
          <w:bCs/>
        </w:rPr>
      </w:pPr>
      <w:r w:rsidRPr="001B1F25">
        <w:rPr>
          <w:b/>
          <w:bCs/>
        </w:rPr>
        <w:t>1</w:t>
      </w:r>
      <w:r w:rsidRPr="001B1F25">
        <w:rPr>
          <w:b/>
          <w:bCs/>
        </w:rPr>
        <w:tab/>
        <w:t>PURPOSES OF THESE GUIDELINES</w:t>
      </w:r>
    </w:p>
    <w:p w14:paraId="79CD18BC" w14:textId="77777777" w:rsidR="00260D97" w:rsidRDefault="00260D97" w:rsidP="00260D97">
      <w:pPr>
        <w:pStyle w:val="GG-body"/>
        <w:ind w:left="284"/>
      </w:pPr>
      <w:r w:rsidRPr="00C74E98">
        <w:t xml:space="preserve">As an applicant for admission, you need to satisfy your Admitting Authority that you are </w:t>
      </w:r>
      <w:r>
        <w:t>“</w:t>
      </w:r>
      <w:r w:rsidRPr="00C74E98">
        <w:t>a fit and proper person</w:t>
      </w:r>
      <w:r>
        <w:t>”</w:t>
      </w:r>
      <w:r w:rsidRPr="00C74E98">
        <w:t xml:space="preserve"> to be admitted to the legal profession.</w:t>
      </w:r>
      <w:r w:rsidRPr="00C74E98">
        <w:rPr>
          <w:vertAlign w:val="superscript"/>
        </w:rPr>
        <w:footnoteReference w:id="2"/>
      </w:r>
      <w:r>
        <w:t xml:space="preserve"> </w:t>
      </w:r>
      <w:r w:rsidRPr="00C74E98">
        <w:t xml:space="preserve">In all jurisdictions other than South Australia, the relevant legislation also requires the Admitting Authority to consider whether you are currently </w:t>
      </w:r>
      <w:r>
        <w:t>“</w:t>
      </w:r>
      <w:r w:rsidRPr="00C74E98">
        <w:t>of good fame and character</w:t>
      </w:r>
      <w:r>
        <w:t>”</w:t>
      </w:r>
      <w:r w:rsidRPr="00C74E98">
        <w:t>.</w:t>
      </w:r>
      <w:r w:rsidRPr="00C74E98">
        <w:rPr>
          <w:vertAlign w:val="superscript"/>
        </w:rPr>
        <w:footnoteReference w:id="3"/>
      </w:r>
      <w:r>
        <w:t xml:space="preserve"> </w:t>
      </w:r>
      <w:r w:rsidRPr="00C74E98">
        <w:t xml:space="preserve">Each of these tests reflects the overarching requirements of the </w:t>
      </w:r>
      <w:r>
        <w:br/>
      </w:r>
      <w:r w:rsidRPr="00C74E98">
        <w:t>pre-existing common law.</w:t>
      </w:r>
    </w:p>
    <w:p w14:paraId="4C3AD703" w14:textId="77777777" w:rsidR="00260D97" w:rsidRDefault="00260D97" w:rsidP="00260D97">
      <w:pPr>
        <w:pStyle w:val="GG-body"/>
        <w:ind w:left="284"/>
      </w:pPr>
      <w:r w:rsidRPr="00C74E98">
        <w:t>The purposes of these Guidelines are</w:t>
      </w:r>
      <w:r>
        <w:t>—</w:t>
      </w:r>
    </w:p>
    <w:p w14:paraId="08576B87" w14:textId="77777777" w:rsidR="00260D97" w:rsidRDefault="00260D97" w:rsidP="00260D97">
      <w:pPr>
        <w:pStyle w:val="GG-body"/>
        <w:ind w:left="851" w:hanging="425"/>
      </w:pPr>
      <w:r w:rsidRPr="001B1F25">
        <w:rPr>
          <w:bCs/>
          <w:spacing w:val="-2"/>
        </w:rPr>
        <w:t>(a)</w:t>
      </w:r>
      <w:r w:rsidRPr="001B1F25">
        <w:rPr>
          <w:bCs/>
          <w:spacing w:val="-2"/>
        </w:rPr>
        <w:tab/>
      </w:r>
      <w:r w:rsidRPr="00C74E98">
        <w:t xml:space="preserve">to emphasise that Admitting Authorities and Courts place a duty and onus squarely on </w:t>
      </w:r>
      <w:r w:rsidRPr="00C74E98">
        <w:rPr>
          <w:i/>
        </w:rPr>
        <w:t xml:space="preserve">you </w:t>
      </w:r>
      <w:r w:rsidRPr="00C74E98">
        <w:t xml:space="preserve">to disclose to your Admitting Authority any matter that could influence its decision about whether you are </w:t>
      </w:r>
      <w:r>
        <w:t>“</w:t>
      </w:r>
      <w:r w:rsidRPr="00C74E98">
        <w:t>currently of good fame and character</w:t>
      </w:r>
      <w:r>
        <w:t>”</w:t>
      </w:r>
      <w:r w:rsidRPr="00C74E98">
        <w:t xml:space="preserve"> and </w:t>
      </w:r>
      <w:r>
        <w:t>“</w:t>
      </w:r>
      <w:r w:rsidRPr="00C74E98">
        <w:t>a fit and proper person</w:t>
      </w:r>
      <w:r>
        <w:t>”</w:t>
      </w:r>
      <w:r w:rsidRPr="00C74E98">
        <w:t>;</w:t>
      </w:r>
    </w:p>
    <w:p w14:paraId="1CC4E0ED" w14:textId="77777777" w:rsidR="00260D97" w:rsidRDefault="00260D97" w:rsidP="00260D97">
      <w:pPr>
        <w:pStyle w:val="GG-body"/>
        <w:ind w:left="851" w:hanging="425"/>
      </w:pPr>
      <w:r w:rsidRPr="001B1F25">
        <w:rPr>
          <w:bCs/>
          <w:spacing w:val="-2"/>
        </w:rPr>
        <w:t>(b)</w:t>
      </w:r>
      <w:r w:rsidRPr="001B1F25">
        <w:rPr>
          <w:bCs/>
          <w:spacing w:val="-2"/>
        </w:rPr>
        <w:tab/>
      </w:r>
      <w:r w:rsidRPr="00C74E98">
        <w:rPr>
          <w:spacing w:val="-2"/>
        </w:rPr>
        <w:t>to explain that, when you do make a disclosure, you must do so honestly and candidly, and be full and frank in what you say; and</w:t>
      </w:r>
    </w:p>
    <w:p w14:paraId="47F5B77E" w14:textId="77777777" w:rsidR="00260D97" w:rsidRDefault="00260D97" w:rsidP="00260D97">
      <w:pPr>
        <w:pStyle w:val="GG-body"/>
        <w:ind w:left="851" w:hanging="425"/>
      </w:pPr>
      <w:r w:rsidRPr="001B1F25">
        <w:rPr>
          <w:bCs/>
          <w:spacing w:val="-2"/>
        </w:rPr>
        <w:t>(c)</w:t>
      </w:r>
      <w:r w:rsidRPr="001B1F25">
        <w:rPr>
          <w:bCs/>
          <w:spacing w:val="-2"/>
        </w:rPr>
        <w:tab/>
      </w:r>
      <w:r w:rsidRPr="00C74E98">
        <w:t>to remind you that failure to do so, if subsequently discovered, can have catastrophic consequences. You might either be refused admission, or struck off the roll, if you have been admitted without making a full disclosure.</w:t>
      </w:r>
    </w:p>
    <w:p w14:paraId="388D3CFB" w14:textId="77777777" w:rsidR="00260D97" w:rsidRDefault="00260D97" w:rsidP="00260D97">
      <w:pPr>
        <w:pStyle w:val="GG-body"/>
        <w:ind w:left="284"/>
      </w:pPr>
      <w:r w:rsidRPr="00C74E98">
        <w:t xml:space="preserve">There are many judicial explanations of what the phrase </w:t>
      </w:r>
      <w:r>
        <w:t>“</w:t>
      </w:r>
      <w:r w:rsidRPr="00C74E98">
        <w:t>fit and proper person</w:t>
      </w:r>
      <w:r>
        <w:t>”</w:t>
      </w:r>
      <w:r w:rsidRPr="00C74E98">
        <w:t xml:space="preserve"> means in different contexts.</w:t>
      </w:r>
      <w:r>
        <w:t xml:space="preserve"> </w:t>
      </w:r>
      <w:r w:rsidRPr="00C74E98">
        <w:t>For example</w:t>
      </w:r>
      <w:r>
        <w:t>—</w:t>
      </w:r>
    </w:p>
    <w:p w14:paraId="1D694BB7" w14:textId="77777777" w:rsidR="00260D97" w:rsidRDefault="00260D97" w:rsidP="00260D97">
      <w:pPr>
        <w:pStyle w:val="GG-body"/>
        <w:ind w:left="426"/>
      </w:pPr>
      <w:r w:rsidRPr="00C74E98">
        <w:t>The requirement for admission to practice (</w:t>
      </w:r>
      <w:r w:rsidRPr="00C74E98">
        <w:rPr>
          <w:i/>
        </w:rPr>
        <w:t>sic</w:t>
      </w:r>
      <w:r w:rsidRPr="00C74E98">
        <w:t xml:space="preserve">) law that the applicant be a fit and proper person, means that the applicant must have the personal qualities of character which are necessary to discharge the important and grave responsibilities of being a barrister and solicitor. A legal practitioner, upon being admitted to practice, assumes duties to the courts, to fellow practitioners as well as to clients. At the heart of </w:t>
      </w:r>
      <w:proofErr w:type="gramStart"/>
      <w:r w:rsidRPr="00C74E98">
        <w:t>all of</w:t>
      </w:r>
      <w:proofErr w:type="gramEnd"/>
      <w:r w:rsidRPr="00C74E98">
        <w:t xml:space="preserve"> those duties is a commitment to honesty and, in those circumstances when it is required, to open candour and frankness, irrespective of self-interest or embarrassment. The entire administration of justice in any community which is governed by law depends upon the honest working of legal practitioners who can be relied upon to meet high standards of honesty and ethical behaviour. It is the legal practitioner who is effectively the daily minister and executor in the administration of justice when advising clients, acting for clients, certifying documents, and making presentations to courts, governments, other professionals, and so on. The level and extent of trust placed in what legal practitioners say or do is necessarily high and the need for honesty is self-evident and essential. </w:t>
      </w:r>
      <w:r w:rsidRPr="00C74E98">
        <w:rPr>
          <w:vertAlign w:val="superscript"/>
        </w:rPr>
        <w:footnoteReference w:id="4"/>
      </w:r>
    </w:p>
    <w:p w14:paraId="6B8A7FD9" w14:textId="77777777" w:rsidR="00260D97" w:rsidRDefault="00260D97" w:rsidP="00260D97">
      <w:pPr>
        <w:pStyle w:val="GG-body"/>
        <w:spacing w:after="60"/>
        <w:ind w:left="284" w:hanging="278"/>
      </w:pPr>
      <w:bookmarkStart w:id="20" w:name="_Toc522014148"/>
      <w:bookmarkStart w:id="21" w:name="_Toc522106948"/>
      <w:r w:rsidRPr="00C74E98">
        <w:rPr>
          <w:b/>
        </w:rPr>
        <w:t>2</w:t>
      </w:r>
      <w:r w:rsidRPr="00C74E98">
        <w:rPr>
          <w:b/>
        </w:rPr>
        <w:tab/>
      </w:r>
      <w:proofErr w:type="gramStart"/>
      <w:r w:rsidRPr="00C74E98">
        <w:rPr>
          <w:b/>
        </w:rPr>
        <w:t>STATUS</w:t>
      </w:r>
      <w:proofErr w:type="gramEnd"/>
      <w:r w:rsidRPr="00C74E98">
        <w:rPr>
          <w:b/>
        </w:rPr>
        <w:t xml:space="preserve"> OF THESE GUIDELINES</w:t>
      </w:r>
      <w:bookmarkEnd w:id="20"/>
      <w:bookmarkEnd w:id="21"/>
    </w:p>
    <w:p w14:paraId="3B5795E7" w14:textId="77777777" w:rsidR="00260D97" w:rsidRDefault="00260D97" w:rsidP="00260D97">
      <w:pPr>
        <w:pStyle w:val="GG-body"/>
        <w:ind w:left="284"/>
      </w:pPr>
      <w:r w:rsidRPr="00C74E98">
        <w:t>These Guidelines do not, and cannot, diminish or supplant in any way your personal duty to disclose any matter which may bear on your fitness for admission. They merely provide information about how Admitting Authorities approach the requirement of disclosure. They also give examples of matters which you might otherwise overlook when deciding what to disclose.</w:t>
      </w:r>
    </w:p>
    <w:p w14:paraId="2A1E9251" w14:textId="77777777" w:rsidR="00260D97" w:rsidRPr="00B94530" w:rsidRDefault="00260D97" w:rsidP="00260D97">
      <w:pPr>
        <w:pStyle w:val="GG-body"/>
        <w:ind w:left="284"/>
      </w:pPr>
      <w:r w:rsidRPr="00C74E98">
        <w:t xml:space="preserve">The examples given are not, and could not be, comprehensive or exhaustive. You must disclose any matter which is or might be relevant to your fitness, </w:t>
      </w:r>
      <w:proofErr w:type="gramStart"/>
      <w:r w:rsidRPr="00C74E98">
        <w:t>whether or not</w:t>
      </w:r>
      <w:proofErr w:type="gramEnd"/>
      <w:r w:rsidRPr="00C74E98">
        <w:t xml:space="preserve"> that matter is mentioned in these Guidelines. Please err on the side of disclosing, rather than concealing, information that might turn out to be relevant in the eyes of an Admitting Authority.</w:t>
      </w:r>
      <w:bookmarkStart w:id="22" w:name="_Toc522014149"/>
      <w:bookmarkStart w:id="23" w:name="_Toc522106949"/>
      <w:r>
        <w:rPr>
          <w:b/>
        </w:rPr>
        <w:br w:type="page"/>
      </w:r>
    </w:p>
    <w:p w14:paraId="71DFE745" w14:textId="77777777" w:rsidR="00260D97" w:rsidRDefault="00260D97" w:rsidP="00260D97">
      <w:pPr>
        <w:pStyle w:val="GG-body"/>
        <w:ind w:left="284" w:hanging="278"/>
        <w:rPr>
          <w:bCs/>
        </w:rPr>
      </w:pPr>
      <w:r w:rsidRPr="00C74E98">
        <w:rPr>
          <w:b/>
        </w:rPr>
        <w:lastRenderedPageBreak/>
        <w:t>3</w:t>
      </w:r>
      <w:r w:rsidRPr="00C74E98">
        <w:rPr>
          <w:b/>
        </w:rPr>
        <w:tab/>
        <w:t>RELEVANT PRINCIPLES</w:t>
      </w:r>
      <w:bookmarkEnd w:id="22"/>
      <w:bookmarkEnd w:id="23"/>
    </w:p>
    <w:p w14:paraId="35B82499" w14:textId="77777777" w:rsidR="00260D97" w:rsidRDefault="00260D97" w:rsidP="00260D97">
      <w:pPr>
        <w:pStyle w:val="GG-body"/>
        <w:ind w:left="284"/>
      </w:pPr>
      <w:r w:rsidRPr="00C74E98">
        <w:t>Your Admitting Authority will apply the following principles when determining your fitness for admission.</w:t>
      </w:r>
    </w:p>
    <w:p w14:paraId="7460D606" w14:textId="77777777" w:rsidR="00260D97" w:rsidRDefault="00260D97" w:rsidP="00260D97">
      <w:pPr>
        <w:pStyle w:val="GG-body"/>
        <w:ind w:left="851" w:hanging="425"/>
      </w:pPr>
      <w:r w:rsidRPr="001B1F25">
        <w:rPr>
          <w:bCs/>
          <w:spacing w:val="-2"/>
        </w:rPr>
        <w:t>(a)</w:t>
      </w:r>
      <w:r w:rsidRPr="001B1F25">
        <w:rPr>
          <w:bCs/>
          <w:spacing w:val="-2"/>
        </w:rPr>
        <w:tab/>
      </w:r>
      <w:r w:rsidRPr="00C74E98">
        <w:rPr>
          <w:bCs/>
          <w:spacing w:val="-2"/>
        </w:rPr>
        <w:t>The</w:t>
      </w:r>
      <w:r w:rsidRPr="00C74E98">
        <w:t xml:space="preserve"> onus is squarely on you to establish your fitness.</w:t>
      </w:r>
    </w:p>
    <w:p w14:paraId="41FF9938" w14:textId="77777777" w:rsidR="00260D97" w:rsidRDefault="00260D97" w:rsidP="00260D97">
      <w:pPr>
        <w:pStyle w:val="GG-body"/>
        <w:ind w:left="851" w:hanging="425"/>
      </w:pPr>
      <w:r w:rsidRPr="001B1F25">
        <w:rPr>
          <w:bCs/>
          <w:spacing w:val="-2"/>
        </w:rPr>
        <w:t>(b)</w:t>
      </w:r>
      <w:r w:rsidRPr="001B1F25">
        <w:rPr>
          <w:bCs/>
          <w:spacing w:val="-2"/>
        </w:rPr>
        <w:tab/>
      </w:r>
      <w:r w:rsidRPr="00C74E98">
        <w:rPr>
          <w:spacing w:val="-4"/>
        </w:rPr>
        <w:t>The statutory test is cast in the present tense</w:t>
      </w:r>
      <w:r w:rsidRPr="00EF4464">
        <w:rPr>
          <w:spacing w:val="-4"/>
        </w:rPr>
        <w:t>—</w:t>
      </w:r>
      <w:r w:rsidRPr="00C74E98">
        <w:rPr>
          <w:spacing w:val="-4"/>
        </w:rPr>
        <w:t xml:space="preserve">whether you are </w:t>
      </w:r>
      <w:r w:rsidRPr="00EF4464">
        <w:rPr>
          <w:spacing w:val="-4"/>
        </w:rPr>
        <w:t>“</w:t>
      </w:r>
      <w:r w:rsidRPr="00C74E98">
        <w:rPr>
          <w:spacing w:val="-4"/>
        </w:rPr>
        <w:t>currently of good fame and character</w:t>
      </w:r>
      <w:r w:rsidRPr="00EF4464">
        <w:rPr>
          <w:spacing w:val="-4"/>
        </w:rPr>
        <w:t>”</w:t>
      </w:r>
      <w:r w:rsidRPr="00C74E98">
        <w:rPr>
          <w:spacing w:val="-4"/>
        </w:rPr>
        <w:t xml:space="preserve"> and, except in South Australia,</w:t>
      </w:r>
      <w:r w:rsidRPr="00C74E98">
        <w:t xml:space="preserve"> whether an applicant </w:t>
      </w:r>
      <w:r>
        <w:t>“</w:t>
      </w:r>
      <w:r w:rsidRPr="00C74E98">
        <w:t>is a fit and proper person</w:t>
      </w:r>
      <w:r>
        <w:t>”</w:t>
      </w:r>
      <w:r w:rsidRPr="00C74E98">
        <w:t>. Your past conduct, though relevant, is therefore not decisive.</w:t>
      </w:r>
    </w:p>
    <w:p w14:paraId="05A5C8B2" w14:textId="77777777" w:rsidR="00260D97" w:rsidRDefault="00260D97" w:rsidP="00260D97">
      <w:pPr>
        <w:pStyle w:val="GG-body"/>
        <w:ind w:left="851" w:hanging="425"/>
      </w:pPr>
      <w:r w:rsidRPr="001B1F25">
        <w:rPr>
          <w:bCs/>
          <w:spacing w:val="-2"/>
        </w:rPr>
        <w:t>(c)</w:t>
      </w:r>
      <w:r w:rsidRPr="001B1F25">
        <w:rPr>
          <w:bCs/>
          <w:spacing w:val="-2"/>
        </w:rPr>
        <w:tab/>
      </w:r>
      <w:r w:rsidRPr="00C74E98">
        <w:rPr>
          <w:spacing w:val="-2"/>
        </w:rPr>
        <w:t>The honesty and candour with which you make any disclosure is relevant when determining your present fitness. High standards</w:t>
      </w:r>
      <w:r w:rsidRPr="00C74E98">
        <w:t xml:space="preserve"> are applied in assessing honesty and candour. Full and frank disclosure is essential</w:t>
      </w:r>
      <w:r>
        <w:t>—</w:t>
      </w:r>
      <w:r w:rsidRPr="00C74E98">
        <w:t>although in most circumstances your disclosure of past indiscretions will not result in you being denied admission.</w:t>
      </w:r>
    </w:p>
    <w:p w14:paraId="441115DA" w14:textId="77777777" w:rsidR="00260D97" w:rsidRDefault="00260D97" w:rsidP="00260D97">
      <w:pPr>
        <w:pStyle w:val="GG-body"/>
        <w:ind w:left="851" w:hanging="425"/>
      </w:pPr>
      <w:r w:rsidRPr="001B1F25">
        <w:rPr>
          <w:bCs/>
          <w:spacing w:val="-2"/>
        </w:rPr>
        <w:t>(d)</w:t>
      </w:r>
      <w:r w:rsidRPr="001B1F25">
        <w:rPr>
          <w:bCs/>
          <w:spacing w:val="-2"/>
        </w:rPr>
        <w:tab/>
      </w:r>
      <w:r w:rsidRPr="00C74E98">
        <w:t>Your present understanding and estimation of your past conduct at the time you make your application is relevant.</w:t>
      </w:r>
    </w:p>
    <w:p w14:paraId="5E802715" w14:textId="77777777" w:rsidR="00260D97" w:rsidRPr="003C4750" w:rsidRDefault="00260D97" w:rsidP="00260D97">
      <w:pPr>
        <w:pStyle w:val="GG-body"/>
        <w:ind w:left="851" w:hanging="425"/>
        <w:rPr>
          <w:bCs/>
          <w:spacing w:val="-2"/>
        </w:rPr>
      </w:pPr>
      <w:r w:rsidRPr="001B1F25">
        <w:rPr>
          <w:bCs/>
          <w:spacing w:val="-2"/>
        </w:rPr>
        <w:t>(e)</w:t>
      </w:r>
      <w:r w:rsidRPr="001B1F25">
        <w:rPr>
          <w:bCs/>
          <w:spacing w:val="-2"/>
        </w:rPr>
        <w:tab/>
      </w:r>
      <w:r w:rsidRPr="00C74E98">
        <w:t xml:space="preserve">Any disclosure you make that may be relevant to whether you are currently able to carry out the inherent requirements of </w:t>
      </w:r>
      <w:r w:rsidRPr="00C74E98">
        <w:rPr>
          <w:bCs/>
          <w:spacing w:val="-2"/>
        </w:rPr>
        <w:t>practice is confidential.</w:t>
      </w:r>
    </w:p>
    <w:p w14:paraId="75683721" w14:textId="77777777" w:rsidR="00260D97" w:rsidRDefault="00260D97" w:rsidP="00260D97">
      <w:pPr>
        <w:pStyle w:val="GG-body"/>
        <w:ind w:left="284" w:hanging="278"/>
      </w:pPr>
      <w:bookmarkStart w:id="24" w:name="_Toc522014150"/>
      <w:bookmarkStart w:id="25" w:name="_Toc522106950"/>
      <w:r w:rsidRPr="00C74E98">
        <w:rPr>
          <w:b/>
        </w:rPr>
        <w:t>4</w:t>
      </w:r>
      <w:r w:rsidRPr="00C74E98">
        <w:rPr>
          <w:b/>
        </w:rPr>
        <w:tab/>
        <w:t>WHAT YOU NEED TO DISCLOSE</w:t>
      </w:r>
      <w:bookmarkEnd w:id="24"/>
      <w:bookmarkEnd w:id="25"/>
    </w:p>
    <w:p w14:paraId="3A17D969" w14:textId="77777777" w:rsidR="00260D97" w:rsidRDefault="00260D97" w:rsidP="00260D97">
      <w:pPr>
        <w:pStyle w:val="GG-body"/>
        <w:ind w:left="284"/>
      </w:pPr>
      <w:r w:rsidRPr="00C74E98">
        <w:t>Your duty is to disclose any matter that might be relevant to your Admitting Authority considering whether you are currently of good fame and character and are a fit and proper person for admission to the legal profession.</w:t>
      </w:r>
    </w:p>
    <w:p w14:paraId="3FFC64B1" w14:textId="77777777" w:rsidR="00260D97" w:rsidRDefault="00260D97" w:rsidP="00260D97">
      <w:pPr>
        <w:pStyle w:val="GG-body"/>
        <w:ind w:left="284"/>
      </w:pPr>
      <w:r w:rsidRPr="00C74E98">
        <w:t xml:space="preserve">This means that you </w:t>
      </w:r>
      <w:r w:rsidRPr="00C74E98">
        <w:rPr>
          <w:i/>
        </w:rPr>
        <w:t xml:space="preserve">must </w:t>
      </w:r>
      <w:r w:rsidRPr="00C74E98">
        <w:t xml:space="preserve">state whether any of the matters set out in </w:t>
      </w:r>
      <w:r w:rsidRPr="00C74E98">
        <w:rPr>
          <w:b/>
        </w:rPr>
        <w:t xml:space="preserve">Appendix 1 </w:t>
      </w:r>
      <w:r w:rsidRPr="00C74E98">
        <w:t>applies to you. Your Admitting Authority has a statutory duty to have regard to each of those matters when considering your application.</w:t>
      </w:r>
    </w:p>
    <w:p w14:paraId="50AFA215" w14:textId="77777777" w:rsidR="00260D97" w:rsidRPr="00921F2A" w:rsidRDefault="00260D97" w:rsidP="00260D97">
      <w:pPr>
        <w:pStyle w:val="GG-body"/>
        <w:ind w:left="284"/>
        <w:rPr>
          <w:spacing w:val="-2"/>
        </w:rPr>
      </w:pPr>
      <w:r w:rsidRPr="00C74E98">
        <w:rPr>
          <w:spacing w:val="-2"/>
        </w:rPr>
        <w:t xml:space="preserve">But you also need to disclose any </w:t>
      </w:r>
      <w:r w:rsidRPr="00C74E98">
        <w:rPr>
          <w:i/>
          <w:spacing w:val="-2"/>
        </w:rPr>
        <w:t xml:space="preserve">other </w:t>
      </w:r>
      <w:r w:rsidRPr="00C74E98">
        <w:rPr>
          <w:spacing w:val="-2"/>
        </w:rPr>
        <w:t>matter that might be relevant to your Admitting Authority</w:t>
      </w:r>
      <w:r w:rsidRPr="00921F2A">
        <w:rPr>
          <w:spacing w:val="-2"/>
        </w:rPr>
        <w:t>’</w:t>
      </w:r>
      <w:r w:rsidRPr="00C74E98">
        <w:rPr>
          <w:spacing w:val="-2"/>
        </w:rPr>
        <w:t>s decision about whether you are a fit and proper person for admission. Courts now clearly consider that you must disclose any matters relevant to the assessment of your honesty.</w:t>
      </w:r>
    </w:p>
    <w:p w14:paraId="7CE9D9EA" w14:textId="77777777" w:rsidR="00260D97" w:rsidRPr="00921F2A" w:rsidRDefault="00260D97" w:rsidP="00260D97">
      <w:pPr>
        <w:pStyle w:val="GG-body"/>
        <w:ind w:left="284"/>
        <w:rPr>
          <w:spacing w:val="-2"/>
        </w:rPr>
      </w:pPr>
      <w:proofErr w:type="gramStart"/>
      <w:r w:rsidRPr="00C74E98">
        <w:t>Unfortunately</w:t>
      </w:r>
      <w:proofErr w:type="gramEnd"/>
      <w:r w:rsidRPr="00C74E98">
        <w:t xml:space="preserve"> it is not possible to provide you with an exhaustive list of everything that might turn out to be relevant to assessing </w:t>
      </w:r>
      <w:r w:rsidRPr="00C74E98">
        <w:rPr>
          <w:spacing w:val="-2"/>
        </w:rPr>
        <w:t>whether you are currently of good fame and character, or a fit and proper person for admission</w:t>
      </w:r>
      <w:r>
        <w:rPr>
          <w:spacing w:val="-2"/>
        </w:rPr>
        <w:t>—</w:t>
      </w:r>
      <w:r w:rsidRPr="00C74E98">
        <w:rPr>
          <w:spacing w:val="-2"/>
        </w:rPr>
        <w:t xml:space="preserve">and which </w:t>
      </w:r>
      <w:proofErr w:type="spellStart"/>
      <w:r w:rsidRPr="00C74E98">
        <w:rPr>
          <w:spacing w:val="-2"/>
        </w:rPr>
        <w:t>your</w:t>
      </w:r>
      <w:proofErr w:type="spellEnd"/>
      <w:r w:rsidRPr="00C74E98">
        <w:rPr>
          <w:spacing w:val="-2"/>
        </w:rPr>
        <w:t xml:space="preserve"> should therefore disclose.</w:t>
      </w:r>
    </w:p>
    <w:p w14:paraId="3259E17E" w14:textId="77777777" w:rsidR="00260D97" w:rsidRDefault="00260D97" w:rsidP="00260D97">
      <w:pPr>
        <w:pStyle w:val="GG-body"/>
        <w:ind w:left="284"/>
      </w:pPr>
      <w:r w:rsidRPr="00C74E98">
        <w:t xml:space="preserve">Generally, however, your duty is to disclose </w:t>
      </w:r>
      <w:r w:rsidRPr="00C74E98">
        <w:rPr>
          <w:i/>
        </w:rPr>
        <w:t xml:space="preserve">any </w:t>
      </w:r>
      <w:r w:rsidRPr="00C74E98">
        <w:t>matter which does or might reflect negatively on your honesty, candour, respect for the law or ability to meet professional standards. You need to provide a full account of any such matter, including a description of your conduct (whether acts or omissions).</w:t>
      </w:r>
    </w:p>
    <w:p w14:paraId="3D2C5F70" w14:textId="77777777" w:rsidR="00260D97" w:rsidRDefault="00260D97" w:rsidP="00260D97">
      <w:pPr>
        <w:pStyle w:val="GG-body"/>
        <w:ind w:left="284"/>
      </w:pPr>
      <w:r w:rsidRPr="00C74E98">
        <w:t xml:space="preserve">Avoid editing, or just selecting those matters that </w:t>
      </w:r>
      <w:r w:rsidRPr="00C74E98">
        <w:rPr>
          <w:i/>
        </w:rPr>
        <w:t xml:space="preserve">you </w:t>
      </w:r>
      <w:r w:rsidRPr="00C74E98">
        <w:t xml:space="preserve">believe </w:t>
      </w:r>
      <w:r w:rsidRPr="00C74E98">
        <w:rPr>
          <w:i/>
        </w:rPr>
        <w:t xml:space="preserve">should </w:t>
      </w:r>
      <w:r w:rsidRPr="00C74E98">
        <w:t>be relevant to your Admitting Authority</w:t>
      </w:r>
      <w:r>
        <w:t>’</w:t>
      </w:r>
      <w:r w:rsidRPr="00C74E98">
        <w:t>s decision. Rather, you need to fully disclose every matter that might fairly assist the Admitting Authority or a Court in deciding whether you are a fit and proper person</w:t>
      </w:r>
      <w:r w:rsidRPr="00C74E98">
        <w:rPr>
          <w:i/>
        </w:rPr>
        <w:t>.</w:t>
      </w:r>
    </w:p>
    <w:p w14:paraId="6A561C29" w14:textId="77777777" w:rsidR="00260D97" w:rsidRDefault="00260D97" w:rsidP="00260D97">
      <w:pPr>
        <w:pStyle w:val="GG-body"/>
        <w:ind w:left="426"/>
      </w:pPr>
      <w:r w:rsidRPr="00C74E98">
        <w:t>Revealing more than might strictly be necessary counts in favour of an applicant</w:t>
      </w:r>
      <w:r>
        <w:t>—</w:t>
      </w:r>
      <w:r w:rsidRPr="00C74E98">
        <w:t>especially where the disclosure still carries embarrassment or discomfort. Revealing less than may be necessary distorts the proper assessment of the applicant and may itself show an inappropriate desire to distort by selecting and screening relevant facts.</w:t>
      </w:r>
      <w:r w:rsidRPr="00C74E98">
        <w:rPr>
          <w:vertAlign w:val="superscript"/>
        </w:rPr>
        <w:footnoteReference w:id="5"/>
      </w:r>
    </w:p>
    <w:p w14:paraId="04832DE2" w14:textId="77777777" w:rsidR="00260D97" w:rsidRDefault="00260D97" w:rsidP="00260D97">
      <w:pPr>
        <w:pStyle w:val="GG-body"/>
        <w:ind w:left="284"/>
      </w:pPr>
      <w:r w:rsidRPr="00C74E98">
        <w:t>You will find a list of helpful dos and don</w:t>
      </w:r>
      <w:r>
        <w:t>’</w:t>
      </w:r>
      <w:r w:rsidRPr="00C74E98">
        <w:t>ts in item 6 below to help you decide how to frame any disclosure you need to make. Item</w:t>
      </w:r>
      <w:r>
        <w:t> </w:t>
      </w:r>
      <w:r w:rsidRPr="00C74E98">
        <w:t>8 also includes further information about disclosures about your capacity.</w:t>
      </w:r>
    </w:p>
    <w:p w14:paraId="3783FA8A" w14:textId="77777777" w:rsidR="00260D97" w:rsidRDefault="00260D97" w:rsidP="00260D97">
      <w:pPr>
        <w:pStyle w:val="GG-body"/>
        <w:ind w:left="284"/>
      </w:pPr>
      <w:r w:rsidRPr="00C74E98">
        <w:t>Note that if you don</w:t>
      </w:r>
      <w:r>
        <w:t>’</w:t>
      </w:r>
      <w:r w:rsidRPr="00C74E98">
        <w:t>t disclose anything, you must include the following statement in your application</w:t>
      </w:r>
      <w:r>
        <w:t>—</w:t>
      </w:r>
    </w:p>
    <w:p w14:paraId="5D2F45E4" w14:textId="77777777" w:rsidR="00260D97" w:rsidRDefault="00260D97" w:rsidP="00260D97">
      <w:pPr>
        <w:pStyle w:val="GG-body"/>
        <w:ind w:left="426"/>
      </w:pPr>
      <w:r w:rsidRPr="00C74E98">
        <w:t>I have read and understood the Disclosure Guidelines for Applicants for Admission to the Legal Profession. I am and always have been of good fame and character and am a fit and proper person to be admitted and I have not done or suffered anything likely to reflect adversely on my good fame and character or on whether I am a fit and proper person. I am not aware of any matter or circumstance that might affect my suitability to be admitted as an Australian lawyer and an officer of the Court.</w:t>
      </w:r>
    </w:p>
    <w:p w14:paraId="799919C9" w14:textId="77777777" w:rsidR="00260D97" w:rsidRDefault="00260D97" w:rsidP="00260D97">
      <w:pPr>
        <w:pStyle w:val="GG-body"/>
        <w:ind w:left="284" w:hanging="278"/>
      </w:pPr>
      <w:bookmarkStart w:id="26" w:name="_Toc522014151"/>
      <w:bookmarkStart w:id="27" w:name="_Toc522106951"/>
      <w:r w:rsidRPr="00C74E98">
        <w:rPr>
          <w:b/>
        </w:rPr>
        <w:t>5</w:t>
      </w:r>
      <w:r w:rsidRPr="00C74E98">
        <w:rPr>
          <w:b/>
        </w:rPr>
        <w:tab/>
        <w:t>SOME EXAMPLES</w:t>
      </w:r>
      <w:bookmarkEnd w:id="26"/>
      <w:bookmarkEnd w:id="27"/>
    </w:p>
    <w:p w14:paraId="017F2BAF" w14:textId="77777777" w:rsidR="00260D97" w:rsidRDefault="00260D97" w:rsidP="00260D97">
      <w:pPr>
        <w:pStyle w:val="GG-body"/>
        <w:ind w:left="284"/>
      </w:pPr>
      <w:r w:rsidRPr="00C74E98">
        <w:t xml:space="preserve">The following are examples of matters which you may need to disclose in addition to the matters set out in </w:t>
      </w:r>
      <w:r w:rsidRPr="00C74E98">
        <w:rPr>
          <w:b/>
        </w:rPr>
        <w:t>Appendix 1</w:t>
      </w:r>
      <w:r w:rsidRPr="00C74E98">
        <w:t>.</w:t>
      </w:r>
    </w:p>
    <w:p w14:paraId="06BB8F33" w14:textId="77777777" w:rsidR="00260D97" w:rsidRDefault="00260D97" w:rsidP="00260D97">
      <w:pPr>
        <w:pStyle w:val="GG-body"/>
        <w:ind w:left="851" w:hanging="425"/>
        <w:rPr>
          <w:b/>
        </w:rPr>
      </w:pPr>
      <w:bookmarkStart w:id="28" w:name="_Toc522014152"/>
      <w:r w:rsidRPr="001B1F25">
        <w:rPr>
          <w:bCs/>
          <w:spacing w:val="-2"/>
        </w:rPr>
        <w:t>(a)</w:t>
      </w:r>
      <w:r w:rsidRPr="001B1F25">
        <w:rPr>
          <w:bCs/>
          <w:spacing w:val="-2"/>
        </w:rPr>
        <w:tab/>
      </w:r>
      <w:r w:rsidRPr="00C74E98">
        <w:rPr>
          <w:b/>
        </w:rPr>
        <w:t>Social security overpayments or offences</w:t>
      </w:r>
      <w:bookmarkEnd w:id="28"/>
    </w:p>
    <w:p w14:paraId="64715AF6" w14:textId="77777777" w:rsidR="00260D97" w:rsidRDefault="00260D97" w:rsidP="00260D97">
      <w:pPr>
        <w:pStyle w:val="GG-body"/>
        <w:ind w:left="851"/>
      </w:pPr>
      <w:r w:rsidRPr="00C74E98">
        <w:t xml:space="preserve">You should disclose any overpayment to you of any kind of Centrelink or social security entitlements at any time, or for any reason, </w:t>
      </w:r>
      <w:proofErr w:type="gramStart"/>
      <w:r w:rsidRPr="00C74E98">
        <w:t>whether or not</w:t>
      </w:r>
      <w:proofErr w:type="gramEnd"/>
      <w:r w:rsidRPr="00C74E98">
        <w:t xml:space="preserve"> you have already repaid the relevant amount; or whether or not you have been prosecuted in relation to the overpayment.</w:t>
      </w:r>
    </w:p>
    <w:p w14:paraId="6BBB86FD" w14:textId="77777777" w:rsidR="00260D97" w:rsidRDefault="00260D97" w:rsidP="00260D97">
      <w:pPr>
        <w:pStyle w:val="GG-body"/>
        <w:ind w:left="851" w:hanging="425"/>
        <w:rPr>
          <w:b/>
        </w:rPr>
      </w:pPr>
      <w:bookmarkStart w:id="29" w:name="_Toc522014153"/>
      <w:r w:rsidRPr="001B1F25">
        <w:rPr>
          <w:bCs/>
          <w:spacing w:val="-2"/>
        </w:rPr>
        <w:t>(b)</w:t>
      </w:r>
      <w:r w:rsidRPr="001B1F25">
        <w:rPr>
          <w:bCs/>
          <w:spacing w:val="-2"/>
        </w:rPr>
        <w:tab/>
      </w:r>
      <w:r w:rsidRPr="00C74E98">
        <w:rPr>
          <w:b/>
        </w:rPr>
        <w:t>Academic misconduct</w:t>
      </w:r>
      <w:bookmarkEnd w:id="29"/>
    </w:p>
    <w:p w14:paraId="1436848F" w14:textId="77777777" w:rsidR="00260D97" w:rsidRDefault="00260D97" w:rsidP="00260D97">
      <w:pPr>
        <w:pStyle w:val="GG-body"/>
        <w:ind w:left="851"/>
      </w:pPr>
      <w:r w:rsidRPr="00C74E98">
        <w:t xml:space="preserve">You should disclose any academic misconduct. You would be wise to disclose such conduct, </w:t>
      </w:r>
      <w:proofErr w:type="gramStart"/>
      <w:r w:rsidRPr="00C74E98">
        <w:t>whether or not</w:t>
      </w:r>
      <w:proofErr w:type="gramEnd"/>
      <w:r w:rsidRPr="00C74E98">
        <w:t xml:space="preserve"> a formal finding was made or a record of the incident retained by the relevant organisation.</w:t>
      </w:r>
    </w:p>
    <w:p w14:paraId="0A88241D" w14:textId="77777777" w:rsidR="00260D97" w:rsidRDefault="00260D97" w:rsidP="00260D97">
      <w:pPr>
        <w:pStyle w:val="GG-body"/>
        <w:ind w:left="851"/>
      </w:pPr>
      <w:r w:rsidRPr="00C74E98">
        <w:t>Academic misconduct includes, but is not limited to, plagiarism, impermissible collusion, cheating and any other inappropriate conduct, whereby you have sought to obtain an academic advantage either for yourself or for some other person.</w:t>
      </w:r>
    </w:p>
    <w:p w14:paraId="23DE2EEC" w14:textId="77777777" w:rsidR="00260D97" w:rsidRDefault="00260D97" w:rsidP="00260D97">
      <w:pPr>
        <w:pStyle w:val="GG-body"/>
        <w:ind w:left="851" w:hanging="425"/>
        <w:rPr>
          <w:b/>
        </w:rPr>
      </w:pPr>
      <w:bookmarkStart w:id="30" w:name="_Toc522014154"/>
      <w:r w:rsidRPr="001B1F25">
        <w:rPr>
          <w:bCs/>
          <w:spacing w:val="-2"/>
        </w:rPr>
        <w:t>(c)</w:t>
      </w:r>
      <w:r w:rsidRPr="001B1F25">
        <w:rPr>
          <w:bCs/>
          <w:spacing w:val="-2"/>
        </w:rPr>
        <w:tab/>
      </w:r>
      <w:r w:rsidRPr="00C74E98">
        <w:rPr>
          <w:b/>
        </w:rPr>
        <w:t>Inappropriate or criminal conduct</w:t>
      </w:r>
      <w:bookmarkEnd w:id="30"/>
    </w:p>
    <w:p w14:paraId="1DBAEB07" w14:textId="77777777" w:rsidR="00260D97" w:rsidRDefault="00260D97" w:rsidP="00260D97">
      <w:pPr>
        <w:pStyle w:val="GG-body"/>
        <w:ind w:left="851"/>
      </w:pPr>
      <w:r w:rsidRPr="00C74E98">
        <w:t>You may also need to disclose general misconduct which occurred, say, in your workplace, educational institution, volunteer position, club, association or in other circumstances, if such conduct may reflect on whether you are a fit and proper person to be admitted to the legal profession. This is so, even if the misconduct does not directly relate to your ability to practise law.</w:t>
      </w:r>
    </w:p>
    <w:p w14:paraId="26D73679" w14:textId="77777777" w:rsidR="00260D97" w:rsidRDefault="00260D97" w:rsidP="00260D97">
      <w:pPr>
        <w:pStyle w:val="GG-body"/>
        <w:ind w:left="851"/>
      </w:pPr>
      <w:r w:rsidRPr="00C74E98">
        <w:t>General misconduct may include, but is not limited to, offensive behaviour, workplace or online bullying, property damage, sexual harassment or racial vilification.</w:t>
      </w:r>
      <w:r w:rsidRPr="00C74E98">
        <w:rPr>
          <w:vertAlign w:val="superscript"/>
        </w:rPr>
        <w:footnoteReference w:id="6"/>
      </w:r>
    </w:p>
    <w:p w14:paraId="29518C03" w14:textId="77777777" w:rsidR="00260D97" w:rsidRDefault="00260D97" w:rsidP="00260D97">
      <w:pPr>
        <w:pStyle w:val="GG-body"/>
        <w:ind w:left="851"/>
      </w:pPr>
      <w:r w:rsidRPr="00C74E98">
        <w:t xml:space="preserve">You also need to disclose any misconduct relating to dishonesty on your part, whether or not that conduct may have amounted to an offence; and whether or not you were charged </w:t>
      </w:r>
      <w:proofErr w:type="gramStart"/>
      <w:r w:rsidRPr="00C74E98">
        <w:t>with, or</w:t>
      </w:r>
      <w:proofErr w:type="gramEnd"/>
      <w:r w:rsidRPr="00C74E98">
        <w:t xml:space="preserve"> convicted of an offence. This includes conduct that involved misappropriating any sort of property in any </w:t>
      </w:r>
      <w:proofErr w:type="gramStart"/>
      <w:r w:rsidRPr="00C74E98">
        <w:t>way, or</w:t>
      </w:r>
      <w:proofErr w:type="gramEnd"/>
      <w:r w:rsidRPr="00C74E98">
        <w:t xml:space="preserve"> making false or misleading statements of any kind.</w:t>
      </w:r>
    </w:p>
    <w:p w14:paraId="38751094" w14:textId="77777777" w:rsidR="00260D97" w:rsidRDefault="00260D97" w:rsidP="00260D97">
      <w:pPr>
        <w:pStyle w:val="GG-body"/>
        <w:ind w:left="851"/>
      </w:pPr>
      <w:r w:rsidRPr="00C74E98">
        <w:t>You should disclose any criminal conviction for any offence whatsoever.</w:t>
      </w:r>
    </w:p>
    <w:p w14:paraId="7E09CE29" w14:textId="77777777" w:rsidR="00260D97" w:rsidRDefault="00260D97" w:rsidP="00260D97">
      <w:pPr>
        <w:pStyle w:val="GG-body"/>
        <w:ind w:left="851"/>
      </w:pPr>
      <w:r w:rsidRPr="00C74E98">
        <w:t xml:space="preserve">You may also need to disclose any criminal </w:t>
      </w:r>
      <w:r w:rsidRPr="00C74E98">
        <w:rPr>
          <w:i/>
        </w:rPr>
        <w:t>charge</w:t>
      </w:r>
      <w:r w:rsidRPr="00C74E98">
        <w:t>, as distinct from a criminal conviction</w:t>
      </w:r>
      <w:r>
        <w:t>—</w:t>
      </w:r>
      <w:r w:rsidRPr="00C74E98">
        <w:t>even if the charge was subsequently withdrawn or you were acquitted. This will, however, depend on the circumstances. If the charge did not proceed for a technical reason, such as the expiration of a time limit, you should disclose it.</w:t>
      </w:r>
    </w:p>
    <w:p w14:paraId="5936F746" w14:textId="77777777" w:rsidR="00260D97" w:rsidRDefault="00260D97" w:rsidP="00260D97">
      <w:pPr>
        <w:pStyle w:val="GG-body"/>
        <w:ind w:left="851"/>
      </w:pPr>
      <w:r w:rsidRPr="00C74E98">
        <w:lastRenderedPageBreak/>
        <w:t>On the other hand, if the charge was denied and the matter did not proceed because of an acknowledged lack of evidence, you need not disclose it, unless your underlying conduct itself warrants disclosure. You should carefully consider whether the facts giving rise to a criminal charge might reasonably be regarded as relevant when assessing your suitability for admission.</w:t>
      </w:r>
    </w:p>
    <w:p w14:paraId="2CB9265A" w14:textId="77777777" w:rsidR="00260D97" w:rsidRDefault="00260D97" w:rsidP="00260D97">
      <w:pPr>
        <w:pStyle w:val="GG-body"/>
        <w:ind w:left="851"/>
      </w:pPr>
      <w:r w:rsidRPr="00C74E98">
        <w:t>You should also carefully consider whether it might be prudent to disclose an offence, even if spent convictions legislation applies to that offence. Where spent convictions legislation does not apply, you should declare any offence of which you have been convicted.</w:t>
      </w:r>
    </w:p>
    <w:p w14:paraId="56011014" w14:textId="77777777" w:rsidR="00260D97" w:rsidRDefault="00260D97" w:rsidP="00260D97">
      <w:pPr>
        <w:pStyle w:val="GG-body"/>
        <w:ind w:left="851"/>
      </w:pPr>
      <w:r w:rsidRPr="00C74E98">
        <w:t>At the other end of the scale, if you had dealings with police as a juvenile, such as being warned for drinking alcohol, it is likely that your Admitting Authority would regard the matter as minor and you would not need to disclose it.</w:t>
      </w:r>
    </w:p>
    <w:p w14:paraId="01D2B0C0" w14:textId="77777777" w:rsidR="00260D97" w:rsidRDefault="00260D97" w:rsidP="00260D97">
      <w:pPr>
        <w:pStyle w:val="GG-body"/>
        <w:ind w:left="851" w:hanging="425"/>
        <w:rPr>
          <w:b/>
        </w:rPr>
      </w:pPr>
      <w:bookmarkStart w:id="31" w:name="_Toc522014155"/>
      <w:r w:rsidRPr="001B1F25">
        <w:rPr>
          <w:bCs/>
          <w:spacing w:val="-2"/>
        </w:rPr>
        <w:t>(d)</w:t>
      </w:r>
      <w:r w:rsidRPr="001B1F25">
        <w:rPr>
          <w:bCs/>
          <w:spacing w:val="-2"/>
        </w:rPr>
        <w:tab/>
      </w:r>
      <w:r w:rsidRPr="00C74E98">
        <w:rPr>
          <w:b/>
        </w:rPr>
        <w:t>Intervention orders and apprehended violence orders</w:t>
      </w:r>
      <w:bookmarkEnd w:id="31"/>
    </w:p>
    <w:p w14:paraId="0AD3754B" w14:textId="77777777" w:rsidR="00260D97" w:rsidRDefault="00260D97" w:rsidP="00260D97">
      <w:pPr>
        <w:pStyle w:val="GG-body"/>
        <w:ind w:left="851" w:hanging="425"/>
        <w:rPr>
          <w:b/>
        </w:rPr>
      </w:pPr>
      <w:r w:rsidRPr="001B1F25">
        <w:rPr>
          <w:bCs/>
          <w:spacing w:val="-2"/>
        </w:rPr>
        <w:t>(e)</w:t>
      </w:r>
      <w:r w:rsidRPr="001B1F25">
        <w:rPr>
          <w:bCs/>
          <w:spacing w:val="-2"/>
        </w:rPr>
        <w:tab/>
      </w:r>
      <w:r w:rsidRPr="00C74E98">
        <w:rPr>
          <w:b/>
        </w:rPr>
        <w:t>Infringement or traffic offences</w:t>
      </w:r>
    </w:p>
    <w:p w14:paraId="6D4772EC" w14:textId="77777777" w:rsidR="00260D97" w:rsidRDefault="00260D97" w:rsidP="00260D97">
      <w:pPr>
        <w:pStyle w:val="GG-body"/>
        <w:ind w:left="851"/>
      </w:pPr>
      <w:r w:rsidRPr="00C74E98">
        <w:t>You may need to declare offences resulting in a court-ordered fine or other sanction or even an administrative penalty, such as traffic or public transport offences. This is certainly necessary if the frequency or number of fines, or your failure to pay fines, could give rise to concern about your respect for the law.</w:t>
      </w:r>
    </w:p>
    <w:p w14:paraId="6910ACCD" w14:textId="77777777" w:rsidR="00260D97" w:rsidRDefault="00260D97" w:rsidP="00260D97">
      <w:pPr>
        <w:pStyle w:val="GG-body"/>
        <w:ind w:left="851" w:hanging="425"/>
        <w:rPr>
          <w:b/>
        </w:rPr>
      </w:pPr>
      <w:bookmarkStart w:id="32" w:name="_Toc522014156"/>
      <w:r w:rsidRPr="001B1F25">
        <w:rPr>
          <w:bCs/>
          <w:spacing w:val="-2"/>
        </w:rPr>
        <w:t>(f)</w:t>
      </w:r>
      <w:r w:rsidRPr="001B1F25">
        <w:rPr>
          <w:bCs/>
          <w:spacing w:val="-2"/>
        </w:rPr>
        <w:tab/>
      </w:r>
      <w:r w:rsidRPr="00C74E98">
        <w:rPr>
          <w:b/>
        </w:rPr>
        <w:t>Making a false statutory declaration</w:t>
      </w:r>
      <w:bookmarkEnd w:id="32"/>
    </w:p>
    <w:p w14:paraId="3FC226BD" w14:textId="77777777" w:rsidR="00260D97" w:rsidRDefault="00260D97" w:rsidP="00260D97">
      <w:pPr>
        <w:pStyle w:val="GG-body"/>
        <w:ind w:left="851" w:hanging="425"/>
        <w:rPr>
          <w:b/>
        </w:rPr>
      </w:pPr>
      <w:bookmarkStart w:id="33" w:name="_Toc522014157"/>
      <w:r w:rsidRPr="001B1F25">
        <w:rPr>
          <w:bCs/>
          <w:spacing w:val="-2"/>
        </w:rPr>
        <w:t>(g)</w:t>
      </w:r>
      <w:r w:rsidRPr="001B1F25">
        <w:rPr>
          <w:bCs/>
          <w:spacing w:val="-2"/>
        </w:rPr>
        <w:tab/>
      </w:r>
      <w:r w:rsidRPr="00C74E98">
        <w:rPr>
          <w:b/>
        </w:rPr>
        <w:t>Tax Offences</w:t>
      </w:r>
      <w:bookmarkEnd w:id="33"/>
    </w:p>
    <w:p w14:paraId="1654FA94" w14:textId="77777777" w:rsidR="00260D97" w:rsidRDefault="00260D97" w:rsidP="00260D97">
      <w:pPr>
        <w:pStyle w:val="GG-body"/>
        <w:ind w:left="851" w:hanging="425"/>
        <w:rPr>
          <w:b/>
        </w:rPr>
      </w:pPr>
      <w:r w:rsidRPr="001B1F25">
        <w:rPr>
          <w:bCs/>
          <w:spacing w:val="-2"/>
        </w:rPr>
        <w:t>(h)</w:t>
      </w:r>
      <w:r w:rsidRPr="001B1F25">
        <w:rPr>
          <w:bCs/>
          <w:spacing w:val="-2"/>
        </w:rPr>
        <w:tab/>
      </w:r>
      <w:r w:rsidRPr="00C74E98">
        <w:rPr>
          <w:b/>
        </w:rPr>
        <w:t>Corporate insolvency, penalties or offences</w:t>
      </w:r>
    </w:p>
    <w:p w14:paraId="551DB20B" w14:textId="77777777" w:rsidR="00260D97" w:rsidRDefault="00260D97" w:rsidP="00260D97">
      <w:pPr>
        <w:pStyle w:val="GG-body"/>
        <w:ind w:left="851"/>
      </w:pPr>
      <w:r w:rsidRPr="00C74E98">
        <w:t>You may need to disclose any instances of insolvency, offences or penalties relating to any company or organisation of which you were a director or responsible officer at the time.</w:t>
      </w:r>
    </w:p>
    <w:p w14:paraId="6F442543" w14:textId="77777777" w:rsidR="00260D97" w:rsidRDefault="00260D97" w:rsidP="00260D97">
      <w:pPr>
        <w:pStyle w:val="GG-body"/>
        <w:ind w:left="284" w:hanging="278"/>
        <w:rPr>
          <w:bCs/>
        </w:rPr>
      </w:pPr>
      <w:bookmarkStart w:id="34" w:name="_Toc522014158"/>
      <w:bookmarkStart w:id="35" w:name="_Toc522106952"/>
      <w:r w:rsidRPr="00C74E98">
        <w:rPr>
          <w:b/>
        </w:rPr>
        <w:t>6</w:t>
      </w:r>
      <w:r w:rsidRPr="00C74E98">
        <w:rPr>
          <w:b/>
        </w:rPr>
        <w:tab/>
        <w:t>DOS AND DON</w:t>
      </w:r>
      <w:r>
        <w:rPr>
          <w:b/>
        </w:rPr>
        <w:t>’</w:t>
      </w:r>
      <w:r w:rsidRPr="00C74E98">
        <w:rPr>
          <w:b/>
        </w:rPr>
        <w:t>TS</w:t>
      </w:r>
      <w:bookmarkEnd w:id="34"/>
      <w:bookmarkEnd w:id="35"/>
    </w:p>
    <w:p w14:paraId="2456704E" w14:textId="77777777" w:rsidR="00260D97" w:rsidRPr="00C74E98" w:rsidRDefault="00260D97" w:rsidP="00260D97">
      <w:pPr>
        <w:pStyle w:val="GG-body"/>
        <w:ind w:left="284"/>
      </w:pPr>
      <w:proofErr w:type="gramStart"/>
      <w:r w:rsidRPr="00C74E98">
        <w:t>A number of</w:t>
      </w:r>
      <w:proofErr w:type="gramEnd"/>
      <w:r w:rsidRPr="00C74E98">
        <w:t xml:space="preserve"> recent cases consider the over-arching obligation to be candid and honest when making a full and frank disclosure of something you choose to disclose</w:t>
      </w:r>
      <w:r w:rsidRPr="00C74E98">
        <w:rPr>
          <w:b/>
        </w:rPr>
        <w:t xml:space="preserve">. </w:t>
      </w:r>
      <w:r w:rsidRPr="00C74E98">
        <w:t>The following dos and don</w:t>
      </w:r>
      <w:r>
        <w:t>’</w:t>
      </w:r>
      <w:r w:rsidRPr="00C74E98">
        <w:t>ts emerge from those cases.</w:t>
      </w:r>
    </w:p>
    <w:p w14:paraId="231F28A5" w14:textId="77777777" w:rsidR="00260D97" w:rsidRDefault="00260D97" w:rsidP="00260D97">
      <w:pPr>
        <w:pStyle w:val="GG-body"/>
        <w:ind w:left="851" w:hanging="425"/>
      </w:pPr>
      <w:r w:rsidRPr="001B1F25">
        <w:rPr>
          <w:bCs/>
          <w:spacing w:val="-2"/>
        </w:rPr>
        <w:t>(a)</w:t>
      </w:r>
      <w:r w:rsidRPr="001B1F25">
        <w:rPr>
          <w:bCs/>
          <w:spacing w:val="-2"/>
        </w:rPr>
        <w:tab/>
      </w:r>
      <w:r w:rsidRPr="00C74E98">
        <w:t>You need to make sure that what you tell the Admitting Authority is completely accurate.</w:t>
      </w:r>
    </w:p>
    <w:p w14:paraId="7D670047" w14:textId="77777777" w:rsidR="00260D97" w:rsidRDefault="00260D97" w:rsidP="00260D97">
      <w:pPr>
        <w:pStyle w:val="GG-body"/>
        <w:ind w:left="851" w:hanging="425"/>
      </w:pPr>
      <w:r w:rsidRPr="001B1F25">
        <w:rPr>
          <w:bCs/>
          <w:spacing w:val="-2"/>
        </w:rPr>
        <w:t>(b)</w:t>
      </w:r>
      <w:r w:rsidRPr="001B1F25">
        <w:rPr>
          <w:bCs/>
          <w:spacing w:val="-2"/>
        </w:rPr>
        <w:tab/>
      </w:r>
      <w:r w:rsidRPr="00C74E98">
        <w:t>Check the relevant facts to ensure that your statement cannot be misleading. If necessary, check those facts with third parties who know about them.</w:t>
      </w:r>
    </w:p>
    <w:p w14:paraId="7382A8CA" w14:textId="77777777" w:rsidR="00260D97" w:rsidRDefault="00260D97" w:rsidP="00260D97">
      <w:pPr>
        <w:pStyle w:val="GG-body"/>
        <w:ind w:left="851" w:hanging="425"/>
      </w:pPr>
      <w:r w:rsidRPr="001B1F25">
        <w:rPr>
          <w:bCs/>
          <w:spacing w:val="-2"/>
        </w:rPr>
        <w:t>(c)</w:t>
      </w:r>
      <w:r w:rsidRPr="001B1F25">
        <w:rPr>
          <w:bCs/>
          <w:spacing w:val="-2"/>
        </w:rPr>
        <w:tab/>
      </w:r>
      <w:r w:rsidRPr="00C74E98">
        <w:t>Even if the matter you are disclosing seems to you to be relatively minor, you must provide full and frank details to the Admitting Authority. You need to include all matters that could be relevant to your Admitting Authority</w:t>
      </w:r>
      <w:r>
        <w:t>’</w:t>
      </w:r>
      <w:r w:rsidRPr="00C74E98">
        <w:t>s assessment.</w:t>
      </w:r>
    </w:p>
    <w:p w14:paraId="7692371B" w14:textId="77777777" w:rsidR="00260D97" w:rsidRDefault="00260D97" w:rsidP="00260D97">
      <w:pPr>
        <w:pStyle w:val="GG-body"/>
        <w:ind w:left="851" w:hanging="425"/>
      </w:pPr>
      <w:r w:rsidRPr="001B1F25">
        <w:rPr>
          <w:bCs/>
          <w:spacing w:val="-2"/>
        </w:rPr>
        <w:t>(d)</w:t>
      </w:r>
      <w:r w:rsidRPr="001B1F25">
        <w:rPr>
          <w:bCs/>
          <w:spacing w:val="-2"/>
        </w:rPr>
        <w:tab/>
      </w:r>
      <w:r w:rsidRPr="00C74E98">
        <w:t>You must do this when you first make your disclosure. Don</w:t>
      </w:r>
      <w:r>
        <w:t>’</w:t>
      </w:r>
      <w:r w:rsidRPr="00C74E98">
        <w:t xml:space="preserve">t wait for the Admitting Authority to ask you for further </w:t>
      </w:r>
      <w:r w:rsidRPr="00C74E98">
        <w:rPr>
          <w:b/>
        </w:rPr>
        <w:t>information</w:t>
      </w:r>
      <w:r w:rsidRPr="00C74E98">
        <w:t>.</w:t>
      </w:r>
    </w:p>
    <w:p w14:paraId="6258EC09" w14:textId="77777777" w:rsidR="00260D97" w:rsidRDefault="00260D97" w:rsidP="00260D97">
      <w:pPr>
        <w:pStyle w:val="GG-body"/>
        <w:ind w:left="851" w:hanging="425"/>
      </w:pPr>
      <w:r w:rsidRPr="001B1F25">
        <w:rPr>
          <w:bCs/>
          <w:spacing w:val="-2"/>
        </w:rPr>
        <w:t>(e)</w:t>
      </w:r>
      <w:r w:rsidRPr="001B1F25">
        <w:rPr>
          <w:bCs/>
          <w:spacing w:val="-2"/>
        </w:rPr>
        <w:tab/>
      </w:r>
      <w:r w:rsidRPr="00C74E98">
        <w:t>Failing to make a full and frank disclosure first up may show that you do not fully understand the honesty and candour that a legal practitioner must demonstrate</w:t>
      </w:r>
      <w:r>
        <w:t>—</w:t>
      </w:r>
      <w:r w:rsidRPr="00C74E98">
        <w:t>even if you didn</w:t>
      </w:r>
      <w:r>
        <w:t>’</w:t>
      </w:r>
      <w:r w:rsidRPr="00C74E98">
        <w:t>t intend to mislead or conceal information.</w:t>
      </w:r>
    </w:p>
    <w:p w14:paraId="0863FE66" w14:textId="77777777" w:rsidR="00260D97" w:rsidRDefault="00260D97" w:rsidP="00260D97">
      <w:pPr>
        <w:pStyle w:val="GG-body"/>
        <w:ind w:left="851" w:hanging="425"/>
      </w:pPr>
      <w:r w:rsidRPr="001B1F25">
        <w:rPr>
          <w:bCs/>
          <w:spacing w:val="-2"/>
        </w:rPr>
        <w:t>(f)</w:t>
      </w:r>
      <w:r w:rsidRPr="001B1F25">
        <w:rPr>
          <w:bCs/>
          <w:spacing w:val="-2"/>
        </w:rPr>
        <w:tab/>
      </w:r>
      <w:r w:rsidRPr="00C74E98">
        <w:t>This failure, alone, may show that you are not yet a fit and proper person to be admitted.</w:t>
      </w:r>
    </w:p>
    <w:p w14:paraId="7F233C75" w14:textId="77777777" w:rsidR="00260D97" w:rsidRDefault="00260D97" w:rsidP="00260D97">
      <w:pPr>
        <w:pStyle w:val="GG-body"/>
        <w:ind w:left="851" w:hanging="425"/>
      </w:pPr>
      <w:r w:rsidRPr="001B1F25">
        <w:rPr>
          <w:bCs/>
          <w:spacing w:val="-2"/>
        </w:rPr>
        <w:t>(g)</w:t>
      </w:r>
      <w:r w:rsidRPr="001B1F25">
        <w:rPr>
          <w:bCs/>
          <w:spacing w:val="-2"/>
        </w:rPr>
        <w:tab/>
      </w:r>
      <w:r w:rsidRPr="00C74E98">
        <w:t>If you deliberately or recklessly misrepresent or conceal facts relevant to your disclosure, you may not be admitted.</w:t>
      </w:r>
    </w:p>
    <w:p w14:paraId="05D3578F" w14:textId="77777777" w:rsidR="00260D97" w:rsidRDefault="00260D97" w:rsidP="00260D97">
      <w:pPr>
        <w:pStyle w:val="GG-body"/>
        <w:ind w:left="851" w:hanging="425"/>
      </w:pPr>
      <w:r w:rsidRPr="001B1F25">
        <w:rPr>
          <w:bCs/>
          <w:spacing w:val="-2"/>
        </w:rPr>
        <w:t>(h)</w:t>
      </w:r>
      <w:r w:rsidRPr="001B1F25">
        <w:rPr>
          <w:bCs/>
          <w:spacing w:val="-2"/>
        </w:rPr>
        <w:tab/>
      </w:r>
      <w:r w:rsidRPr="00C74E98">
        <w:t>If you are admitted after deliberately or recklessly concealing facts relevant to your disclosure, your admission may well be revoked once your deception is uncovered.</w:t>
      </w:r>
    </w:p>
    <w:p w14:paraId="17D2B097" w14:textId="77777777" w:rsidR="00260D97" w:rsidRDefault="00260D97" w:rsidP="00260D97">
      <w:pPr>
        <w:pStyle w:val="GG-body"/>
        <w:ind w:left="851" w:hanging="425"/>
      </w:pPr>
      <w:r w:rsidRPr="001B1F25">
        <w:rPr>
          <w:bCs/>
          <w:spacing w:val="-2"/>
        </w:rPr>
        <w:t>(</w:t>
      </w:r>
      <w:proofErr w:type="spellStart"/>
      <w:r w:rsidRPr="001B1F25">
        <w:rPr>
          <w:bCs/>
          <w:spacing w:val="-2"/>
        </w:rPr>
        <w:t>i</w:t>
      </w:r>
      <w:proofErr w:type="spellEnd"/>
      <w:r w:rsidRPr="001B1F25">
        <w:rPr>
          <w:bCs/>
          <w:spacing w:val="-2"/>
        </w:rPr>
        <w:t>)</w:t>
      </w:r>
      <w:r w:rsidRPr="001B1F25">
        <w:rPr>
          <w:bCs/>
          <w:spacing w:val="-2"/>
        </w:rPr>
        <w:tab/>
      </w:r>
      <w:r w:rsidRPr="00C74E98">
        <w:t>Make sure that you give the Admitting Authority as much information about the circumstances of the event you are disclosing as will allow it to assess the gravity of the event for itself.</w:t>
      </w:r>
    </w:p>
    <w:p w14:paraId="08CD47B5" w14:textId="77777777" w:rsidR="00260D97" w:rsidRDefault="00260D97" w:rsidP="00260D97">
      <w:pPr>
        <w:pStyle w:val="GG-body"/>
        <w:ind w:left="851" w:hanging="425"/>
      </w:pPr>
      <w:r w:rsidRPr="001B1F25">
        <w:rPr>
          <w:bCs/>
          <w:spacing w:val="-2"/>
        </w:rPr>
        <w:t>(j)</w:t>
      </w:r>
      <w:r w:rsidRPr="001B1F25">
        <w:rPr>
          <w:bCs/>
          <w:spacing w:val="-2"/>
        </w:rPr>
        <w:tab/>
      </w:r>
      <w:r w:rsidRPr="00C74E98">
        <w:t>Give a full picture of the events and a thorough explanation of your conduct.</w:t>
      </w:r>
    </w:p>
    <w:p w14:paraId="46449CBB" w14:textId="77777777" w:rsidR="00260D97" w:rsidRPr="003C4750" w:rsidRDefault="00260D97" w:rsidP="00260D97">
      <w:pPr>
        <w:pStyle w:val="GG-body"/>
        <w:ind w:left="851" w:hanging="425"/>
        <w:rPr>
          <w:bCs/>
          <w:spacing w:val="-2"/>
        </w:rPr>
      </w:pPr>
      <w:r w:rsidRPr="001B1F25">
        <w:rPr>
          <w:bCs/>
          <w:spacing w:val="-2"/>
        </w:rPr>
        <w:t>(k)</w:t>
      </w:r>
      <w:r w:rsidRPr="001B1F25">
        <w:rPr>
          <w:bCs/>
          <w:spacing w:val="-2"/>
        </w:rPr>
        <w:tab/>
      </w:r>
      <w:r w:rsidRPr="00C74E98">
        <w:t xml:space="preserve">Views can differ about what level of detail is sufficient to demonstrate honesty, candour and full and frank disclosure. The </w:t>
      </w:r>
      <w:r w:rsidRPr="00C74E98">
        <w:rPr>
          <w:bCs/>
          <w:spacing w:val="-2"/>
        </w:rPr>
        <w:t>Admitting Authority</w:t>
      </w:r>
      <w:r w:rsidRPr="003C4750">
        <w:rPr>
          <w:bCs/>
          <w:spacing w:val="-2"/>
        </w:rPr>
        <w:t>’</w:t>
      </w:r>
      <w:r w:rsidRPr="00C74E98">
        <w:rPr>
          <w:bCs/>
          <w:spacing w:val="-2"/>
        </w:rPr>
        <w:t>s view may be different from yours. If in doubt, it may be wise to give more, rather than less, information.</w:t>
      </w:r>
    </w:p>
    <w:p w14:paraId="513D91B1" w14:textId="77777777" w:rsidR="00260D97" w:rsidRDefault="00260D97" w:rsidP="00260D97">
      <w:pPr>
        <w:pStyle w:val="GG-body"/>
        <w:ind w:left="851" w:hanging="425"/>
      </w:pPr>
      <w:r w:rsidRPr="001B1F25">
        <w:rPr>
          <w:bCs/>
          <w:spacing w:val="-2"/>
        </w:rPr>
        <w:t>(l)</w:t>
      </w:r>
      <w:r w:rsidRPr="001B1F25">
        <w:rPr>
          <w:bCs/>
          <w:spacing w:val="-2"/>
        </w:rPr>
        <w:tab/>
      </w:r>
      <w:r w:rsidRPr="00C74E98">
        <w:t>Don</w:t>
      </w:r>
      <w:r>
        <w:t>’</w:t>
      </w:r>
      <w:r w:rsidRPr="00C74E98">
        <w:t>t seek to minimise your culpability; to deflect blame onto others; or to conceal information that may be unfavourable to you.</w:t>
      </w:r>
    </w:p>
    <w:p w14:paraId="420B1263" w14:textId="77777777" w:rsidR="00260D97" w:rsidRDefault="00260D97" w:rsidP="00260D97">
      <w:pPr>
        <w:pStyle w:val="GG-body"/>
        <w:ind w:left="851" w:hanging="425"/>
      </w:pPr>
      <w:r w:rsidRPr="001B1F25">
        <w:rPr>
          <w:bCs/>
          <w:spacing w:val="-2"/>
        </w:rPr>
        <w:t>(m)</w:t>
      </w:r>
      <w:r w:rsidRPr="001B1F25">
        <w:rPr>
          <w:bCs/>
          <w:spacing w:val="-2"/>
        </w:rPr>
        <w:tab/>
      </w:r>
      <w:r w:rsidRPr="00C74E98">
        <w:t>Try to show the Admitting Authority that you have insight into why and how the event occurred; that you take full responsibility for it; and why the Admitting Authority can be satisfied that you will not do similar things in the future.</w:t>
      </w:r>
    </w:p>
    <w:p w14:paraId="3DCD26B3" w14:textId="77777777" w:rsidR="00260D97" w:rsidRPr="00CD18C9" w:rsidRDefault="00260D97" w:rsidP="00260D97">
      <w:pPr>
        <w:pStyle w:val="GG-body"/>
        <w:ind w:left="851" w:hanging="425"/>
        <w:rPr>
          <w:b/>
        </w:rPr>
      </w:pPr>
      <w:r w:rsidRPr="001B1F25">
        <w:rPr>
          <w:bCs/>
          <w:spacing w:val="-2"/>
        </w:rPr>
        <w:t>(n)</w:t>
      </w:r>
      <w:r w:rsidRPr="001B1F25">
        <w:rPr>
          <w:bCs/>
          <w:spacing w:val="-2"/>
        </w:rPr>
        <w:tab/>
      </w:r>
      <w:r w:rsidRPr="00C74E98">
        <w:t xml:space="preserve">It is not enough simply to express remorse. Because your fitness to practise is assessed at the time you make your application, you need to show the Admitting Authority that what you have done to redeem yourself, or to rehabilitate </w:t>
      </w:r>
      <w:r w:rsidRPr="00C74E98">
        <w:rPr>
          <w:b/>
        </w:rPr>
        <w:t>yourself since the event occurred.</w:t>
      </w:r>
    </w:p>
    <w:p w14:paraId="0252667D" w14:textId="77777777" w:rsidR="00260D97" w:rsidRDefault="00260D97" w:rsidP="00260D97">
      <w:pPr>
        <w:pStyle w:val="GG-body"/>
        <w:ind w:left="851" w:hanging="425"/>
      </w:pPr>
      <w:r w:rsidRPr="001B1F25">
        <w:rPr>
          <w:bCs/>
          <w:spacing w:val="-2"/>
        </w:rPr>
        <w:t>(o)</w:t>
      </w:r>
      <w:r w:rsidRPr="001B1F25">
        <w:rPr>
          <w:bCs/>
          <w:spacing w:val="-2"/>
        </w:rPr>
        <w:tab/>
      </w:r>
      <w:r w:rsidRPr="00C74E98">
        <w:t>You may need to produce independent evidence from others to show that you are now a fit and proper person. Your own assertions may not be enough.</w:t>
      </w:r>
    </w:p>
    <w:p w14:paraId="2E328B80" w14:textId="77777777" w:rsidR="00260D97" w:rsidRDefault="00260D97" w:rsidP="00260D97">
      <w:pPr>
        <w:pStyle w:val="GG-body"/>
        <w:ind w:left="851" w:hanging="425"/>
      </w:pPr>
      <w:r w:rsidRPr="001B1F25">
        <w:rPr>
          <w:bCs/>
          <w:spacing w:val="-2"/>
        </w:rPr>
        <w:t>(p)</w:t>
      </w:r>
      <w:r w:rsidRPr="001B1F25">
        <w:rPr>
          <w:bCs/>
          <w:spacing w:val="-2"/>
        </w:rPr>
        <w:tab/>
      </w:r>
      <w:r w:rsidRPr="00C74E98">
        <w:t>If you can show the Admitting Authority the active steps you have taken to rehabilitate yourself, this may demonstrate that you have appreciated the gravity of your conduct; have accepted responsibility for it; have taken steps to rehabilitate yourself; and understand the obligation of honesty, candour and full and frank disclosure.</w:t>
      </w:r>
    </w:p>
    <w:p w14:paraId="641E68EB" w14:textId="77777777" w:rsidR="00260D97" w:rsidRDefault="00260D97" w:rsidP="00260D97">
      <w:pPr>
        <w:pStyle w:val="GG-body"/>
        <w:ind w:left="851" w:hanging="425"/>
      </w:pPr>
      <w:r w:rsidRPr="001B1F25">
        <w:rPr>
          <w:bCs/>
          <w:spacing w:val="-2"/>
        </w:rPr>
        <w:t>(q)</w:t>
      </w:r>
      <w:r w:rsidRPr="001B1F25">
        <w:rPr>
          <w:bCs/>
          <w:spacing w:val="-2"/>
        </w:rPr>
        <w:tab/>
      </w:r>
      <w:r w:rsidRPr="00C74E98">
        <w:t>If, however, your past conduct was very serious or involved extreme dishonesty, it may be hard to convince an Admitting Authority that you are a fit and proper person to be admitted.</w:t>
      </w:r>
    </w:p>
    <w:p w14:paraId="7DABF1C8" w14:textId="77777777" w:rsidR="00260D97" w:rsidRDefault="00260D97" w:rsidP="00260D97">
      <w:pPr>
        <w:pStyle w:val="GG-body"/>
        <w:ind w:left="284" w:hanging="278"/>
        <w:rPr>
          <w:bCs/>
        </w:rPr>
      </w:pPr>
      <w:bookmarkStart w:id="36" w:name="_Toc522014159"/>
      <w:bookmarkStart w:id="37" w:name="_Toc522106953"/>
      <w:r w:rsidRPr="00C74E98">
        <w:rPr>
          <w:b/>
        </w:rPr>
        <w:t>7</w:t>
      </w:r>
      <w:r w:rsidRPr="00C74E98">
        <w:rPr>
          <w:b/>
        </w:rPr>
        <w:tab/>
        <w:t>CERTIFICATES OF CHARACTER</w:t>
      </w:r>
      <w:bookmarkEnd w:id="36"/>
      <w:bookmarkEnd w:id="37"/>
    </w:p>
    <w:p w14:paraId="486793DF" w14:textId="77777777" w:rsidR="00260D97" w:rsidRDefault="00260D97" w:rsidP="00260D97">
      <w:pPr>
        <w:pStyle w:val="GG-body"/>
        <w:ind w:left="284"/>
      </w:pPr>
      <w:r w:rsidRPr="00C74E98">
        <w:t>Please also note that any person who supplies a certificate of character to support an application</w:t>
      </w:r>
      <w:r>
        <w:t>—</w:t>
      </w:r>
    </w:p>
    <w:p w14:paraId="48A0A28F" w14:textId="77777777" w:rsidR="00260D97" w:rsidRDefault="00260D97" w:rsidP="00260D97">
      <w:pPr>
        <w:pStyle w:val="GG-body"/>
        <w:ind w:left="851" w:hanging="425"/>
      </w:pPr>
      <w:r w:rsidRPr="001B1F25">
        <w:rPr>
          <w:bCs/>
          <w:spacing w:val="-2"/>
        </w:rPr>
        <w:t>(a)</w:t>
      </w:r>
      <w:r w:rsidRPr="001B1F25">
        <w:rPr>
          <w:bCs/>
          <w:spacing w:val="-2"/>
        </w:rPr>
        <w:tab/>
      </w:r>
      <w:r w:rsidRPr="00C74E98">
        <w:t xml:space="preserve">must be aware of, and have </w:t>
      </w:r>
      <w:proofErr w:type="gramStart"/>
      <w:r w:rsidRPr="00C74E98">
        <w:t>actually read</w:t>
      </w:r>
      <w:proofErr w:type="gramEnd"/>
      <w:r w:rsidRPr="00C74E98">
        <w:t>, any disclosure you make of the type mentioned above; and</w:t>
      </w:r>
    </w:p>
    <w:p w14:paraId="55892BE7" w14:textId="77777777" w:rsidR="00260D97" w:rsidRDefault="00260D97" w:rsidP="00260D97">
      <w:pPr>
        <w:pStyle w:val="GG-body"/>
        <w:ind w:left="851" w:hanging="425"/>
      </w:pPr>
      <w:r w:rsidRPr="001B1F25">
        <w:rPr>
          <w:bCs/>
          <w:spacing w:val="-2"/>
        </w:rPr>
        <w:t>(b)</w:t>
      </w:r>
      <w:r w:rsidRPr="001B1F25">
        <w:rPr>
          <w:bCs/>
          <w:spacing w:val="-2"/>
        </w:rPr>
        <w:tab/>
      </w:r>
      <w:r w:rsidRPr="00C74E98">
        <w:t>must attest to those facts in the person</w:t>
      </w:r>
      <w:r>
        <w:t>’</w:t>
      </w:r>
      <w:r w:rsidRPr="00C74E98">
        <w:t>s certificate of character.</w:t>
      </w:r>
    </w:p>
    <w:p w14:paraId="0A662299" w14:textId="77777777" w:rsidR="00260D97" w:rsidRPr="00B94530" w:rsidRDefault="00260D97" w:rsidP="00260D97">
      <w:pPr>
        <w:pStyle w:val="GG-body"/>
        <w:ind w:left="284"/>
      </w:pPr>
      <w:r w:rsidRPr="00C74E98">
        <w:t>Because of the privacy implications of disclosures about your capacity, a person who supplies a certificate of character need not be aware of any disclosure you have made about your capacity: see item 8.</w:t>
      </w:r>
      <w:bookmarkStart w:id="38" w:name="_Toc522014160"/>
      <w:bookmarkStart w:id="39" w:name="_Toc522106954"/>
      <w:r>
        <w:rPr>
          <w:b/>
        </w:rPr>
        <w:br w:type="page"/>
      </w:r>
    </w:p>
    <w:p w14:paraId="0B4A0DB8" w14:textId="77777777" w:rsidR="00260D97" w:rsidRDefault="00260D97" w:rsidP="00260D97">
      <w:pPr>
        <w:pStyle w:val="GG-body"/>
        <w:ind w:left="284" w:hanging="278"/>
        <w:rPr>
          <w:bCs/>
        </w:rPr>
      </w:pPr>
      <w:r w:rsidRPr="00C74E98">
        <w:rPr>
          <w:b/>
        </w:rPr>
        <w:lastRenderedPageBreak/>
        <w:t>8</w:t>
      </w:r>
      <w:r w:rsidRPr="00C74E98">
        <w:rPr>
          <w:b/>
        </w:rPr>
        <w:tab/>
        <w:t>DISCLOSURES ABOUT CAPACITY</w:t>
      </w:r>
      <w:bookmarkEnd w:id="38"/>
      <w:bookmarkEnd w:id="39"/>
    </w:p>
    <w:p w14:paraId="32FCFFEC" w14:textId="77777777" w:rsidR="00260D97" w:rsidRDefault="00260D97" w:rsidP="00260D97">
      <w:pPr>
        <w:pStyle w:val="GG-body"/>
        <w:ind w:left="709" w:hanging="425"/>
        <w:rPr>
          <w:b/>
        </w:rPr>
      </w:pPr>
      <w:r w:rsidRPr="001B1F25">
        <w:rPr>
          <w:bCs/>
          <w:spacing w:val="-2"/>
          <w:w w:val="99"/>
        </w:rPr>
        <w:t>(1)</w:t>
      </w:r>
      <w:r w:rsidRPr="001B1F25">
        <w:rPr>
          <w:bCs/>
          <w:spacing w:val="-2"/>
          <w:w w:val="99"/>
        </w:rPr>
        <w:tab/>
      </w:r>
      <w:r w:rsidRPr="00C74E98">
        <w:rPr>
          <w:b/>
        </w:rPr>
        <w:t>What the law says</w:t>
      </w:r>
    </w:p>
    <w:p w14:paraId="2EF2BD6D" w14:textId="77777777" w:rsidR="00260D97" w:rsidRDefault="00260D97" w:rsidP="00260D97">
      <w:pPr>
        <w:pStyle w:val="GG-body"/>
        <w:ind w:left="709"/>
      </w:pPr>
      <w:r w:rsidRPr="00C74E98">
        <w:t xml:space="preserve">An Admitting Authority is also required to consider whether, at the time of making your application, you </w:t>
      </w:r>
      <w:proofErr w:type="gramStart"/>
      <w:r w:rsidRPr="00C74E98">
        <w:t>are able to</w:t>
      </w:r>
      <w:proofErr w:type="gramEnd"/>
      <w:r w:rsidRPr="00C74E98">
        <w:t xml:space="preserve"> carry out the inherent requirements of legal practice.</w:t>
      </w:r>
    </w:p>
    <w:p w14:paraId="3159DD62" w14:textId="77777777" w:rsidR="00260D97" w:rsidRPr="009F27B6" w:rsidRDefault="00260D97" w:rsidP="00260D97">
      <w:pPr>
        <w:pStyle w:val="GG-body"/>
        <w:ind w:left="709"/>
        <w:rPr>
          <w:spacing w:val="-2"/>
        </w:rPr>
      </w:pPr>
      <w:r w:rsidRPr="00C74E98">
        <w:rPr>
          <w:spacing w:val="-2"/>
        </w:rPr>
        <w:t>The requirement o</w:t>
      </w:r>
      <w:r w:rsidRPr="00C74E98">
        <w:rPr>
          <w:bCs/>
          <w:spacing w:val="-2"/>
        </w:rPr>
        <w:t>f</w:t>
      </w:r>
      <w:r w:rsidRPr="00C74E98">
        <w:rPr>
          <w:b/>
          <w:spacing w:val="-2"/>
        </w:rPr>
        <w:t xml:space="preserve"> </w:t>
      </w:r>
      <w:r w:rsidRPr="00C74E98">
        <w:rPr>
          <w:spacing w:val="-2"/>
        </w:rPr>
        <w:t>capacity is separate and distinct from the requirement to be a fit and proper person or of good fame and character.</w:t>
      </w:r>
    </w:p>
    <w:p w14:paraId="5F8EC9D2" w14:textId="77777777" w:rsidR="00260D97" w:rsidRDefault="00260D97" w:rsidP="00260D97">
      <w:pPr>
        <w:pStyle w:val="GG-body"/>
        <w:ind w:left="709"/>
      </w:pPr>
      <w:r w:rsidRPr="00C74E98">
        <w:t>The Legal Profession Acts and Admission Rules variously describe matters relating to an applicant</w:t>
      </w:r>
      <w:r>
        <w:t>’</w:t>
      </w:r>
      <w:r w:rsidRPr="00C74E98">
        <w:t>s capacity about which an Admitting Authority must satisfy itself, in the following ways</w:t>
      </w:r>
      <w:r>
        <w:t>—</w:t>
      </w:r>
    </w:p>
    <w:p w14:paraId="03E17999" w14:textId="77777777" w:rsidR="00260D97" w:rsidRDefault="00260D97" w:rsidP="00260D97">
      <w:pPr>
        <w:pStyle w:val="GG-body"/>
        <w:ind w:left="1276" w:hanging="425"/>
      </w:pPr>
      <w:r w:rsidRPr="001B1F25">
        <w:rPr>
          <w:bCs/>
          <w:spacing w:val="-2"/>
        </w:rPr>
        <w:t>(a)</w:t>
      </w:r>
      <w:r w:rsidRPr="001B1F25">
        <w:rPr>
          <w:bCs/>
          <w:spacing w:val="-2"/>
        </w:rPr>
        <w:tab/>
      </w:r>
      <w:r w:rsidRPr="00C74E98">
        <w:t>whether the person is currently unable satisfactorily to carry out the inherent requirements of practice as an Australian legal practitioner;</w:t>
      </w:r>
      <w:r w:rsidRPr="00C74E98">
        <w:rPr>
          <w:vertAlign w:val="superscript"/>
        </w:rPr>
        <w:footnoteReference w:id="7"/>
      </w:r>
    </w:p>
    <w:p w14:paraId="7C02A32B" w14:textId="77777777" w:rsidR="00260D97" w:rsidRPr="003C4750" w:rsidRDefault="00260D97" w:rsidP="00260D97">
      <w:pPr>
        <w:pStyle w:val="GG-body"/>
        <w:ind w:left="1276" w:hanging="425"/>
        <w:rPr>
          <w:b/>
          <w:spacing w:val="-2"/>
        </w:rPr>
      </w:pPr>
      <w:r w:rsidRPr="001B1F25">
        <w:rPr>
          <w:bCs/>
          <w:spacing w:val="-2"/>
        </w:rPr>
        <w:t>(b)</w:t>
      </w:r>
      <w:r w:rsidRPr="001B1F25">
        <w:rPr>
          <w:bCs/>
          <w:spacing w:val="-2"/>
        </w:rPr>
        <w:tab/>
      </w:r>
      <w:r w:rsidRPr="00C74E98">
        <w:rPr>
          <w:spacing w:val="-2"/>
        </w:rPr>
        <w:t xml:space="preserve">whether the person is currently unable to carry out the inherent requirements of practice as an Australian legal </w:t>
      </w:r>
      <w:r w:rsidRPr="00C74E98">
        <w:rPr>
          <w:b/>
          <w:spacing w:val="-2"/>
        </w:rPr>
        <w:t>practitioner;</w:t>
      </w:r>
      <w:r w:rsidRPr="00C74E98">
        <w:rPr>
          <w:bCs/>
          <w:spacing w:val="-2"/>
          <w:vertAlign w:val="superscript"/>
        </w:rPr>
        <w:footnoteReference w:id="8"/>
      </w:r>
    </w:p>
    <w:p w14:paraId="0C3A987E" w14:textId="77777777" w:rsidR="00260D97" w:rsidRDefault="00260D97" w:rsidP="00260D97">
      <w:pPr>
        <w:pStyle w:val="GG-body"/>
        <w:ind w:left="1276" w:hanging="425"/>
      </w:pPr>
      <w:r w:rsidRPr="001B1F25">
        <w:rPr>
          <w:bCs/>
          <w:spacing w:val="-2"/>
        </w:rPr>
        <w:t>(c)</w:t>
      </w:r>
      <w:r w:rsidRPr="001B1F25">
        <w:rPr>
          <w:bCs/>
          <w:spacing w:val="-2"/>
        </w:rPr>
        <w:tab/>
      </w:r>
      <w:r w:rsidRPr="00C74E98">
        <w:t>whether the person currently has a material inability to engage in legal practice.</w:t>
      </w:r>
      <w:r w:rsidRPr="00C74E98">
        <w:rPr>
          <w:vertAlign w:val="superscript"/>
        </w:rPr>
        <w:footnoteReference w:id="9"/>
      </w:r>
    </w:p>
    <w:p w14:paraId="3EF8D498" w14:textId="77777777" w:rsidR="00260D97" w:rsidRPr="003C7ADB" w:rsidRDefault="00260D97" w:rsidP="00260D97">
      <w:pPr>
        <w:pStyle w:val="GG-body"/>
        <w:ind w:left="709"/>
      </w:pPr>
      <w:r w:rsidRPr="00C74E98">
        <w:t>Further, in deciding whether you are a fit and proper person, most Admitting Authorities also have power to have regard to any other matter it considers relevant, in addition to each of the matters particularly prescribed by legislation.</w:t>
      </w:r>
    </w:p>
    <w:p w14:paraId="6B00953F" w14:textId="77777777" w:rsidR="00260D97" w:rsidRDefault="00260D97" w:rsidP="00260D97">
      <w:pPr>
        <w:pStyle w:val="GG-body"/>
        <w:ind w:left="709"/>
      </w:pPr>
      <w:r w:rsidRPr="00C74E98">
        <w:t>Your precise obligation thus depends on the relevant legislation in the jurisdiction in which you seek admission.</w:t>
      </w:r>
    </w:p>
    <w:p w14:paraId="106A7D69" w14:textId="77777777" w:rsidR="00260D97" w:rsidRDefault="00260D97" w:rsidP="00260D97">
      <w:pPr>
        <w:pStyle w:val="GG-body"/>
        <w:ind w:left="709"/>
      </w:pPr>
      <w:r w:rsidRPr="00C74E98">
        <w:t xml:space="preserve">Note, however, that apart from making disclosures which respond to the </w:t>
      </w:r>
      <w:proofErr w:type="gramStart"/>
      <w:r w:rsidRPr="00C74E98">
        <w:t>particular legislative</w:t>
      </w:r>
      <w:proofErr w:type="gramEnd"/>
      <w:r w:rsidRPr="00C74E98">
        <w:t xml:space="preserve"> requirement relevant to your capacity, it would be sensible for you to disclose any other matters which an Admitting Authority might think relevant when assessing your current capacity to engage in legal practice.</w:t>
      </w:r>
    </w:p>
    <w:p w14:paraId="6059F1CB" w14:textId="77777777" w:rsidR="00260D97" w:rsidRDefault="00260D97" w:rsidP="00260D97">
      <w:pPr>
        <w:pStyle w:val="GG-body"/>
        <w:ind w:left="709" w:hanging="425"/>
        <w:rPr>
          <w:b/>
        </w:rPr>
      </w:pPr>
      <w:bookmarkStart w:id="40" w:name="_Toc522014161"/>
      <w:r w:rsidRPr="001B1F25">
        <w:rPr>
          <w:bCs/>
          <w:spacing w:val="-2"/>
          <w:w w:val="99"/>
        </w:rPr>
        <w:t>(2)</w:t>
      </w:r>
      <w:r w:rsidRPr="001B1F25">
        <w:rPr>
          <w:bCs/>
          <w:spacing w:val="-2"/>
          <w:w w:val="99"/>
        </w:rPr>
        <w:tab/>
      </w:r>
      <w:r w:rsidRPr="00C74E98">
        <w:rPr>
          <w:b/>
        </w:rPr>
        <w:t>What your Admitting Authority does</w:t>
      </w:r>
      <w:bookmarkEnd w:id="40"/>
    </w:p>
    <w:p w14:paraId="759DF1FA" w14:textId="77777777" w:rsidR="00260D97" w:rsidRDefault="00260D97" w:rsidP="00260D97">
      <w:pPr>
        <w:pStyle w:val="GG-body"/>
        <w:ind w:left="709"/>
      </w:pPr>
      <w:r w:rsidRPr="00C74E98">
        <w:t>Your Admitting Authority has a positive, encouraging approach to people seeking admission who experience mental, physical or other health conditions or disabilities. It wishes to ensure that such people are assisted, encouraged and supported to seek admission and to engage in legal practice.</w:t>
      </w:r>
    </w:p>
    <w:p w14:paraId="4758FFFA" w14:textId="77777777" w:rsidR="00260D97" w:rsidRDefault="00260D97" w:rsidP="00260D97">
      <w:pPr>
        <w:pStyle w:val="GG-body"/>
        <w:ind w:left="709"/>
      </w:pPr>
      <w:r w:rsidRPr="00C74E98">
        <w:t>It encourages people to seek medical or psychological help before seeking admission and, indeed, whenever they feel the need. Willingness to seek help counts in one</w:t>
      </w:r>
      <w:r>
        <w:t>’</w:t>
      </w:r>
      <w:r w:rsidRPr="00C74E98">
        <w:t>s favour.</w:t>
      </w:r>
    </w:p>
    <w:p w14:paraId="3C60F2E9" w14:textId="77777777" w:rsidR="00260D97" w:rsidRDefault="00260D97" w:rsidP="00260D97">
      <w:pPr>
        <w:pStyle w:val="GG-body"/>
        <w:ind w:left="709"/>
      </w:pPr>
      <w:r w:rsidRPr="00C74E98">
        <w:t>Seeking early help can both demonstrate appropriate insight into one</w:t>
      </w:r>
      <w:r>
        <w:t>’</w:t>
      </w:r>
      <w:r w:rsidRPr="00C74E98">
        <w:t xml:space="preserve">s condition or disability </w:t>
      </w:r>
      <w:proofErr w:type="gramStart"/>
      <w:r w:rsidRPr="00C74E98">
        <w:t>and also</w:t>
      </w:r>
      <w:proofErr w:type="gramEnd"/>
      <w:r w:rsidRPr="00C74E98">
        <w:t xml:space="preserve"> avert the risk of conduct that could become relevant to one</w:t>
      </w:r>
      <w:r>
        <w:t>’</w:t>
      </w:r>
      <w:r w:rsidRPr="00C74E98">
        <w:t>s suitability for admission. Seeking psychological or medical help will not, of itself, prejudice one</w:t>
      </w:r>
      <w:r>
        <w:t>’</w:t>
      </w:r>
      <w:r w:rsidRPr="00C74E98">
        <w:t>s ability to be admitted. Similarly, telling the Admitting Authority about the circumstances underlying the help received will not, of itself, prejudice one</w:t>
      </w:r>
      <w:r>
        <w:t>’</w:t>
      </w:r>
      <w:r w:rsidRPr="00C74E98">
        <w:t xml:space="preserve">s ability to be admitted. On the contrary, it may show that one has appropriate strategies to deal with any stresses that arise </w:t>
      </w:r>
      <w:proofErr w:type="gramStart"/>
      <w:r w:rsidRPr="00C74E98">
        <w:t>in the course of</w:t>
      </w:r>
      <w:proofErr w:type="gramEnd"/>
      <w:r w:rsidRPr="00C74E98">
        <w:t xml:space="preserve"> legal practice; and that any former difficulties have been overcome.</w:t>
      </w:r>
    </w:p>
    <w:p w14:paraId="6E53AD5B" w14:textId="77777777" w:rsidR="00260D97" w:rsidRDefault="00260D97" w:rsidP="00260D97">
      <w:pPr>
        <w:pStyle w:val="GG-body"/>
        <w:ind w:left="709"/>
      </w:pPr>
      <w:r w:rsidRPr="00C74E98">
        <w:t>If you happen to have, or to have experienced in the past, a mental, physical or other health condition or disability</w:t>
      </w:r>
      <w:r>
        <w:t>—</w:t>
      </w:r>
    </w:p>
    <w:p w14:paraId="1B2E7EA9" w14:textId="77777777" w:rsidR="00260D97" w:rsidRDefault="00260D97" w:rsidP="00260D97">
      <w:pPr>
        <w:pStyle w:val="GG-body"/>
        <w:ind w:left="1276" w:hanging="425"/>
      </w:pPr>
      <w:r w:rsidRPr="001B1F25">
        <w:rPr>
          <w:bCs/>
          <w:spacing w:val="-2"/>
        </w:rPr>
        <w:t>(a)</w:t>
      </w:r>
      <w:r w:rsidRPr="001B1F25">
        <w:rPr>
          <w:bCs/>
          <w:spacing w:val="-2"/>
        </w:rPr>
        <w:tab/>
      </w:r>
      <w:r w:rsidRPr="00C74E98">
        <w:t>you are encouraged to obtain medical or psychological help if you feel you need it; and</w:t>
      </w:r>
    </w:p>
    <w:p w14:paraId="61BDE3F2" w14:textId="77777777" w:rsidR="00260D97" w:rsidRDefault="00260D97" w:rsidP="00260D97">
      <w:pPr>
        <w:pStyle w:val="GG-body"/>
        <w:ind w:left="1276" w:hanging="425"/>
      </w:pPr>
      <w:r w:rsidRPr="001B1F25">
        <w:rPr>
          <w:bCs/>
          <w:spacing w:val="-2"/>
        </w:rPr>
        <w:t>(b)</w:t>
      </w:r>
      <w:r w:rsidRPr="001B1F25">
        <w:rPr>
          <w:bCs/>
          <w:spacing w:val="-2"/>
        </w:rPr>
        <w:tab/>
      </w:r>
      <w:r w:rsidRPr="00C74E98">
        <w:t>that condition or disability, or the fact that you have sought or are obtaining help, will not necessarily prejudice your application for admission; but</w:t>
      </w:r>
    </w:p>
    <w:p w14:paraId="4CDEB0DA" w14:textId="77777777" w:rsidR="00260D97" w:rsidRDefault="00260D97" w:rsidP="00260D97">
      <w:pPr>
        <w:pStyle w:val="GG-body"/>
        <w:ind w:left="1276" w:hanging="425"/>
      </w:pPr>
      <w:r w:rsidRPr="001B1F25">
        <w:rPr>
          <w:bCs/>
          <w:spacing w:val="-2"/>
        </w:rPr>
        <w:t>(c)</w:t>
      </w:r>
      <w:r w:rsidRPr="001B1F25">
        <w:rPr>
          <w:bCs/>
          <w:spacing w:val="-2"/>
        </w:rPr>
        <w:tab/>
      </w:r>
      <w:r w:rsidRPr="00C74E98">
        <w:t>your Admitting Authority is likely to consider that any behaviour or conduct arising from, or attributable to, that condition or disability is relevant, and should therefore be disclosed.</w:t>
      </w:r>
    </w:p>
    <w:p w14:paraId="1633714A" w14:textId="77777777" w:rsidR="00260D97" w:rsidRDefault="00260D97" w:rsidP="00260D97">
      <w:pPr>
        <w:pStyle w:val="GG-body"/>
        <w:ind w:left="709"/>
      </w:pPr>
      <w:r w:rsidRPr="00C74E98">
        <w:rPr>
          <w:spacing w:val="-2"/>
        </w:rPr>
        <w:t>Your Admitting Authority</w:t>
      </w:r>
      <w:r w:rsidRPr="00B708BC">
        <w:rPr>
          <w:spacing w:val="-2"/>
        </w:rPr>
        <w:t>’</w:t>
      </w:r>
      <w:r w:rsidRPr="00C74E98">
        <w:rPr>
          <w:spacing w:val="-2"/>
        </w:rPr>
        <w:t xml:space="preserve">s task is to determine if you are </w:t>
      </w:r>
      <w:r w:rsidRPr="00C74E98">
        <w:rPr>
          <w:i/>
          <w:spacing w:val="-2"/>
        </w:rPr>
        <w:t xml:space="preserve">currently </w:t>
      </w:r>
      <w:r w:rsidRPr="00C74E98">
        <w:rPr>
          <w:spacing w:val="-2"/>
        </w:rPr>
        <w:t>able to carry out the inherent requirements of practice. It will</w:t>
      </w:r>
      <w:r w:rsidRPr="00C74E98">
        <w:t xml:space="preserve"> do this in the light of any disclosures you make and any supporting information you choose to provide.</w:t>
      </w:r>
    </w:p>
    <w:p w14:paraId="4E8DF268" w14:textId="77777777" w:rsidR="00260D97" w:rsidRDefault="00260D97" w:rsidP="00260D97">
      <w:pPr>
        <w:pStyle w:val="GG-body"/>
        <w:ind w:left="709"/>
      </w:pPr>
      <w:r w:rsidRPr="00C74E98">
        <w:t>Any mental, physical or other health condition or disability which you have, or may have had in the past, will only be relevant if it affects your current ability to carry out the inherent requirements of practice.</w:t>
      </w:r>
    </w:p>
    <w:p w14:paraId="36996768" w14:textId="77777777" w:rsidR="00260D97" w:rsidRDefault="00260D97" w:rsidP="00260D97">
      <w:pPr>
        <w:pStyle w:val="GG-body"/>
        <w:ind w:left="709"/>
      </w:pPr>
      <w:r w:rsidRPr="00C74E98">
        <w:t xml:space="preserve">Except for the purposes of the administration of its relevant legislation, or as otherwise required by law, your Admitting Authority will not disclose to others (including any prospective employer) any personal or medical evidence that you disclose to it. </w:t>
      </w:r>
      <w:proofErr w:type="gramStart"/>
      <w:r w:rsidRPr="00C74E98">
        <w:t>In order to</w:t>
      </w:r>
      <w:proofErr w:type="gramEnd"/>
      <w:r w:rsidRPr="00C74E98">
        <w:t xml:space="preserve"> further protect your privacy, you may make any disclosure about your capacity in a separate statutory declaration lodged with your application.</w:t>
      </w:r>
    </w:p>
    <w:p w14:paraId="3620E2A3" w14:textId="77777777" w:rsidR="00260D97" w:rsidRDefault="00260D97" w:rsidP="00260D97">
      <w:pPr>
        <w:pStyle w:val="GG-body"/>
        <w:ind w:left="709" w:hanging="425"/>
        <w:rPr>
          <w:b/>
        </w:rPr>
      </w:pPr>
      <w:bookmarkStart w:id="41" w:name="_Toc522014162"/>
      <w:r w:rsidRPr="001B1F25">
        <w:rPr>
          <w:bCs/>
          <w:spacing w:val="-2"/>
          <w:w w:val="99"/>
        </w:rPr>
        <w:t>(3)</w:t>
      </w:r>
      <w:r w:rsidRPr="001B1F25">
        <w:rPr>
          <w:bCs/>
          <w:spacing w:val="-2"/>
          <w:w w:val="99"/>
        </w:rPr>
        <w:tab/>
      </w:r>
      <w:r w:rsidRPr="00C74E98">
        <w:rPr>
          <w:b/>
        </w:rPr>
        <w:t>When a health condition may be relevant</w:t>
      </w:r>
      <w:bookmarkEnd w:id="41"/>
    </w:p>
    <w:p w14:paraId="26A36999" w14:textId="77777777" w:rsidR="00260D97" w:rsidRDefault="00260D97" w:rsidP="00260D97">
      <w:pPr>
        <w:pStyle w:val="GG-body"/>
        <w:ind w:left="1276" w:hanging="425"/>
      </w:pPr>
      <w:r w:rsidRPr="001B1F25">
        <w:rPr>
          <w:bCs/>
          <w:spacing w:val="-2"/>
        </w:rPr>
        <w:t>(a)</w:t>
      </w:r>
      <w:r w:rsidRPr="001B1F25">
        <w:rPr>
          <w:bCs/>
          <w:spacing w:val="-2"/>
        </w:rPr>
        <w:tab/>
      </w:r>
      <w:r w:rsidRPr="00C74E98">
        <w:t>Very occasionally, the mere existence of a health condition or disability may directly affect your current ability to carry out the inherent requirements of practice. For example, if you earlier had a car accident, or an illness, that means you are no longer able to remember instructions which you are given, you may not currently be able to carry out the inherent requirements of practice. You need to disclose any such difficulties to your Admitting Authority.</w:t>
      </w:r>
    </w:p>
    <w:p w14:paraId="6616D903" w14:textId="77777777" w:rsidR="00260D97" w:rsidRPr="00AC7CDF" w:rsidRDefault="00260D97" w:rsidP="00260D97">
      <w:pPr>
        <w:pStyle w:val="GG-body"/>
        <w:ind w:left="1276" w:hanging="425"/>
        <w:rPr>
          <w:bCs/>
          <w:spacing w:val="-2"/>
        </w:rPr>
      </w:pPr>
      <w:r w:rsidRPr="001B1F25">
        <w:rPr>
          <w:bCs/>
          <w:spacing w:val="-2"/>
        </w:rPr>
        <w:t>(b)</w:t>
      </w:r>
      <w:r w:rsidRPr="001B1F25">
        <w:rPr>
          <w:bCs/>
          <w:spacing w:val="-2"/>
        </w:rPr>
        <w:tab/>
      </w:r>
      <w:r w:rsidRPr="00C74E98">
        <w:t xml:space="preserve">Sometimes your past conduct (whether by act or omission) might raise questions about whether you are currently able to carry out the inherent requirements of practice. Repeated instances of certain conduct might cast doubt on your insight, or on your </w:t>
      </w:r>
      <w:r w:rsidRPr="00C74E98">
        <w:rPr>
          <w:bCs/>
          <w:spacing w:val="-2"/>
        </w:rPr>
        <w:t>ability to make sound judgments. You need to disclose any such conduct to your Admitting Authority.</w:t>
      </w:r>
    </w:p>
    <w:p w14:paraId="15903E68" w14:textId="77777777" w:rsidR="00260D97" w:rsidRDefault="00260D97" w:rsidP="00260D97">
      <w:pPr>
        <w:pStyle w:val="GG-body"/>
        <w:ind w:left="1276" w:hanging="425"/>
      </w:pPr>
      <w:r w:rsidRPr="001B1F25">
        <w:rPr>
          <w:bCs/>
          <w:spacing w:val="-2"/>
        </w:rPr>
        <w:t>(c)</w:t>
      </w:r>
      <w:r w:rsidRPr="001B1F25">
        <w:rPr>
          <w:bCs/>
          <w:spacing w:val="-2"/>
        </w:rPr>
        <w:tab/>
      </w:r>
      <w:r w:rsidRPr="00C74E98">
        <w:t xml:space="preserve">If you think that conduct might be wholly or partly explained by, or associated with, some physical, mental or other </w:t>
      </w:r>
      <w:r w:rsidRPr="00C74E98">
        <w:rPr>
          <w:spacing w:val="-2"/>
        </w:rPr>
        <w:t>health condition or disability (whether diagnosed or not), you can choose to disclose that condition or disability; and may</w:t>
      </w:r>
      <w:r w:rsidRPr="00C74E98">
        <w:t xml:space="preserve"> </w:t>
      </w:r>
      <w:r w:rsidRPr="00C74E98">
        <w:rPr>
          <w:spacing w:val="-2"/>
        </w:rPr>
        <w:t>provide any supporting medical evidence that you think might assist your Admitting Authority to decide whether you are currently able to carry out the inherent requirements of practice. Such information may well explain the reasons underlying</w:t>
      </w:r>
      <w:r w:rsidRPr="00C74E98">
        <w:t xml:space="preserve"> your conduct; and demonstrate that the underlying cause has been effectively dealt with or appropriately managed.</w:t>
      </w:r>
    </w:p>
    <w:p w14:paraId="59B6C7FD" w14:textId="77777777" w:rsidR="00260D97" w:rsidRPr="00B94530" w:rsidRDefault="00260D97" w:rsidP="00260D97">
      <w:pPr>
        <w:pStyle w:val="GG-body"/>
        <w:ind w:left="709"/>
      </w:pPr>
      <w:r w:rsidRPr="00C74E98">
        <w:t>If you seek to demonstrate that your condition or disability is appropriately managed and stable, a certificate to that effect from one or more of your treating medical practitioners would greatly assist your Admitting Authority.</w:t>
      </w:r>
      <w:bookmarkStart w:id="42" w:name="_Toc522014163"/>
      <w:r>
        <w:rPr>
          <w:bCs/>
          <w:spacing w:val="-2"/>
          <w:w w:val="99"/>
        </w:rPr>
        <w:br w:type="page"/>
      </w:r>
    </w:p>
    <w:p w14:paraId="54231531" w14:textId="77777777" w:rsidR="00260D97" w:rsidRDefault="00260D97" w:rsidP="00260D97">
      <w:pPr>
        <w:pStyle w:val="GG-body"/>
        <w:ind w:left="709" w:hanging="425"/>
        <w:rPr>
          <w:b/>
        </w:rPr>
      </w:pPr>
      <w:r w:rsidRPr="001B1F25">
        <w:rPr>
          <w:bCs/>
          <w:spacing w:val="-2"/>
          <w:w w:val="99"/>
        </w:rPr>
        <w:lastRenderedPageBreak/>
        <w:t>(4)</w:t>
      </w:r>
      <w:r w:rsidRPr="001B1F25">
        <w:rPr>
          <w:bCs/>
          <w:spacing w:val="-2"/>
          <w:w w:val="99"/>
        </w:rPr>
        <w:tab/>
      </w:r>
      <w:r w:rsidRPr="00C74E98">
        <w:rPr>
          <w:b/>
        </w:rPr>
        <w:t>Examples</w:t>
      </w:r>
      <w:bookmarkEnd w:id="42"/>
    </w:p>
    <w:p w14:paraId="60F0E24C" w14:textId="77777777" w:rsidR="00260D97" w:rsidRDefault="00260D97" w:rsidP="00260D97">
      <w:pPr>
        <w:pStyle w:val="GG-body"/>
        <w:ind w:left="709"/>
      </w:pPr>
      <w:r w:rsidRPr="00C74E98">
        <w:t xml:space="preserve">The following examples are merely indicative illustrations. An Admitting Authority responds to the </w:t>
      </w:r>
      <w:proofErr w:type="gramStart"/>
      <w:r w:rsidRPr="00C74E98">
        <w:t>particular circumstances</w:t>
      </w:r>
      <w:proofErr w:type="gramEnd"/>
      <w:r w:rsidRPr="00C74E98">
        <w:t xml:space="preserve"> of each application. The examples cannot thus be considered as binding on an Admitting Authority.</w:t>
      </w:r>
    </w:p>
    <w:p w14:paraId="14267439" w14:textId="77777777" w:rsidR="00260D97" w:rsidRDefault="00260D97" w:rsidP="00260D97">
      <w:pPr>
        <w:pStyle w:val="GG-body"/>
        <w:ind w:left="1134" w:hanging="425"/>
      </w:pPr>
      <w:r w:rsidRPr="001B1F25">
        <w:rPr>
          <w:bCs/>
          <w:spacing w:val="-2"/>
          <w:w w:val="99"/>
        </w:rPr>
        <w:t>(1)</w:t>
      </w:r>
      <w:r w:rsidRPr="001B1F25">
        <w:rPr>
          <w:bCs/>
          <w:spacing w:val="-2"/>
          <w:w w:val="99"/>
        </w:rPr>
        <w:tab/>
      </w:r>
      <w:r w:rsidRPr="00C74E98">
        <w:rPr>
          <w:spacing w:val="-2"/>
        </w:rPr>
        <w:t>S found first year law very difficult. She wasn</w:t>
      </w:r>
      <w:r w:rsidRPr="008D1F94">
        <w:rPr>
          <w:spacing w:val="-2"/>
        </w:rPr>
        <w:t>’</w:t>
      </w:r>
      <w:r w:rsidRPr="00C74E98">
        <w:rPr>
          <w:spacing w:val="-2"/>
        </w:rPr>
        <w:t xml:space="preserve">t prepared for the work </w:t>
      </w:r>
      <w:proofErr w:type="gramStart"/>
      <w:r w:rsidRPr="00C74E98">
        <w:rPr>
          <w:spacing w:val="-2"/>
        </w:rPr>
        <w:t>required, and</w:t>
      </w:r>
      <w:proofErr w:type="gramEnd"/>
      <w:r w:rsidRPr="00C74E98">
        <w:rPr>
          <w:spacing w:val="-2"/>
        </w:rPr>
        <w:t xml:space="preserve"> found it hard to meet all deadlines. As she</w:t>
      </w:r>
      <w:r w:rsidRPr="00C74E98">
        <w:t xml:space="preserve"> had always done well at school, she was surprised that her law school marks were always bare passes. She became anxious about her </w:t>
      </w:r>
      <w:proofErr w:type="gramStart"/>
      <w:r w:rsidRPr="00C74E98">
        <w:t>capacity, and</w:t>
      </w:r>
      <w:proofErr w:type="gramEnd"/>
      <w:r w:rsidRPr="00C74E98">
        <w:t xml:space="preserve"> questioned whether she should be doing law.</w:t>
      </w:r>
    </w:p>
    <w:p w14:paraId="224576CA" w14:textId="77777777" w:rsidR="00260D97" w:rsidRDefault="00260D97" w:rsidP="00260D97">
      <w:pPr>
        <w:pStyle w:val="GG-body"/>
        <w:ind w:left="1134"/>
      </w:pPr>
      <w:r w:rsidRPr="00C74E98">
        <w:t>On the recommendation of a lecturer, she attended the University</w:t>
      </w:r>
      <w:r>
        <w:t>’</w:t>
      </w:r>
      <w:r w:rsidRPr="00C74E98">
        <w:t>s counselling service. The counsellor helped her to recognise the causes of her anxiety; advised her how to manage those causes; and recommended that she should attend a mindfulness course. After working with the counsellor, and undertaking the mindfulness course, S still felt stressed about law school. Having learned how to manage her stress appropriately, however, she successfully completed her law course and PLT course.</w:t>
      </w:r>
    </w:p>
    <w:p w14:paraId="5DEAF32E" w14:textId="77777777" w:rsidR="00260D97" w:rsidRDefault="00260D97" w:rsidP="00260D97">
      <w:pPr>
        <w:pStyle w:val="GG-body"/>
        <w:ind w:left="1134"/>
      </w:pPr>
      <w:r w:rsidRPr="00C74E98">
        <w:t>S would not need to disclose these circumstances to her Admitting Authority.</w:t>
      </w:r>
    </w:p>
    <w:p w14:paraId="198016B6" w14:textId="77777777" w:rsidR="00260D97" w:rsidRDefault="00260D97" w:rsidP="00260D97">
      <w:pPr>
        <w:pStyle w:val="GG-body"/>
        <w:ind w:left="1134" w:hanging="425"/>
      </w:pPr>
      <w:r w:rsidRPr="001B1F25">
        <w:rPr>
          <w:bCs/>
          <w:spacing w:val="-2"/>
          <w:w w:val="99"/>
        </w:rPr>
        <w:t>(2)</w:t>
      </w:r>
      <w:r w:rsidRPr="001B1F25">
        <w:rPr>
          <w:bCs/>
          <w:spacing w:val="-2"/>
          <w:w w:val="99"/>
        </w:rPr>
        <w:tab/>
      </w:r>
      <w:r w:rsidRPr="00C74E98">
        <w:t>P comes from a family with a history of severe depression and has suffered depression for many years, attempting suicide on several occasions. He managed to get through his law course with difficulty, often requiring substantial special consideration to complete assessments and examinations. He has completed an on-line PLT course, but his depression persists. It severely affects his ability to engage in daily activities; and he often finds that he is unable to get out of bed in the morning.</w:t>
      </w:r>
    </w:p>
    <w:p w14:paraId="61F40647" w14:textId="77777777" w:rsidR="00260D97" w:rsidRDefault="00260D97" w:rsidP="00260D97">
      <w:pPr>
        <w:pStyle w:val="GG-body"/>
        <w:ind w:left="1134"/>
      </w:pPr>
      <w:r w:rsidRPr="00C74E98">
        <w:t xml:space="preserve">P would need to disclose his difficulties to his Admitting Authority, as they raise questions about whether he is </w:t>
      </w:r>
      <w:r w:rsidRPr="00C74E98">
        <w:rPr>
          <w:i/>
        </w:rPr>
        <w:t xml:space="preserve">currently </w:t>
      </w:r>
      <w:r w:rsidRPr="00C74E98">
        <w:t>able to carry out the inherent requirements of practice. Disclosing his condition to the Admitting Authority does not necessarily mean that he would not be admitted, however. The Admitting Authority would probably wish to know whether, and if so how, his present difficulties might be overcome or managed. It would be sensible for P to answer these questions in his initial disclosure, rather than waiting to be asked for further information by the Admitting Authority.</w:t>
      </w:r>
    </w:p>
    <w:p w14:paraId="69A1BA8A" w14:textId="77777777" w:rsidR="00260D97" w:rsidRDefault="00260D97" w:rsidP="00260D97">
      <w:pPr>
        <w:pStyle w:val="GG-body"/>
        <w:ind w:left="1134" w:hanging="425"/>
      </w:pPr>
      <w:r w:rsidRPr="001B1F25">
        <w:rPr>
          <w:bCs/>
          <w:spacing w:val="-2"/>
          <w:w w:val="99"/>
        </w:rPr>
        <w:t>(3)</w:t>
      </w:r>
      <w:r w:rsidRPr="001B1F25">
        <w:rPr>
          <w:bCs/>
          <w:spacing w:val="-2"/>
          <w:w w:val="99"/>
        </w:rPr>
        <w:tab/>
      </w:r>
      <w:r w:rsidRPr="00C74E98">
        <w:t xml:space="preserve">M enjoyed the early years of his law course and was doing well. In his third year, however his mother was diagnosed </w:t>
      </w:r>
      <w:r w:rsidRPr="00C74E98">
        <w:rPr>
          <w:b/>
        </w:rPr>
        <w:t xml:space="preserve">with a serious illness and died late in the year. M was her primary </w:t>
      </w:r>
      <w:proofErr w:type="gramStart"/>
      <w:r w:rsidRPr="00C74E98">
        <w:rPr>
          <w:b/>
        </w:rPr>
        <w:t>care-giver</w:t>
      </w:r>
      <w:proofErr w:type="gramEnd"/>
      <w:r w:rsidRPr="00C74E98">
        <w:rPr>
          <w:b/>
        </w:rPr>
        <w:t xml:space="preserve"> during her illness and was devastated</w:t>
      </w:r>
      <w:r w:rsidRPr="00C74E98">
        <w:t xml:space="preserve"> by her death. He failed several subjects that year, because of the stress of nursing his mother and his inability to talk about his circumstances with </w:t>
      </w:r>
      <w:proofErr w:type="gramStart"/>
      <w:r w:rsidRPr="00C74E98">
        <w:t>others, and</w:t>
      </w:r>
      <w:proofErr w:type="gramEnd"/>
      <w:r w:rsidRPr="00C74E98">
        <w:t xml:space="preserve"> obtained special consideration.</w:t>
      </w:r>
    </w:p>
    <w:p w14:paraId="7C7E3DC9" w14:textId="77777777" w:rsidR="00260D97" w:rsidRDefault="00260D97" w:rsidP="00260D97">
      <w:pPr>
        <w:pStyle w:val="GG-body"/>
        <w:ind w:left="1134"/>
      </w:pPr>
      <w:r w:rsidRPr="00C74E98">
        <w:t>Subsequently, however, he became depressed and stopped attending law school. He consulted his GP who diagnosed depression and assisted him to undertake a series of treatments. M found that a combination of medication and counselling helped him regain his equilibrium. He re-enrolled and successfully completed both law and a PLT course. He no longer requires either medication or counselling.</w:t>
      </w:r>
    </w:p>
    <w:p w14:paraId="12153950" w14:textId="77777777" w:rsidR="00260D97" w:rsidRDefault="00260D97" w:rsidP="00260D97">
      <w:pPr>
        <w:pStyle w:val="GG-body"/>
        <w:ind w:left="1134"/>
      </w:pPr>
      <w:r w:rsidRPr="00C74E98">
        <w:t>M would not need to disclose these circumstances to his Admitting Authority.</w:t>
      </w:r>
    </w:p>
    <w:p w14:paraId="53447E1D" w14:textId="77777777" w:rsidR="00260D97" w:rsidRDefault="00260D97" w:rsidP="00260D97">
      <w:pPr>
        <w:pStyle w:val="GG-body"/>
        <w:ind w:left="1134" w:hanging="425"/>
      </w:pPr>
      <w:r w:rsidRPr="001B1F25">
        <w:rPr>
          <w:bCs/>
          <w:spacing w:val="-2"/>
          <w:w w:val="99"/>
        </w:rPr>
        <w:t>(4)</w:t>
      </w:r>
      <w:r w:rsidRPr="001B1F25">
        <w:rPr>
          <w:bCs/>
          <w:spacing w:val="-2"/>
          <w:w w:val="99"/>
        </w:rPr>
        <w:tab/>
      </w:r>
      <w:r w:rsidRPr="00C74E98">
        <w:t xml:space="preserve">During his law course, T developed delusions that his teachers were conspiring to have him removed from the law school. He wrote angry, hostile emails to law school and university staff, and alleged serious misconduct and mistreatment on their part to </w:t>
      </w:r>
      <w:proofErr w:type="gramStart"/>
      <w:r w:rsidRPr="00C74E98">
        <w:t>a number of</w:t>
      </w:r>
      <w:proofErr w:type="gramEnd"/>
      <w:r w:rsidRPr="00C74E98">
        <w:t xml:space="preserve"> authorities.</w:t>
      </w:r>
    </w:p>
    <w:p w14:paraId="05A70664" w14:textId="77777777" w:rsidR="00260D97" w:rsidRDefault="00260D97" w:rsidP="00260D97">
      <w:pPr>
        <w:pStyle w:val="GG-body"/>
        <w:ind w:left="1134"/>
      </w:pPr>
      <w:r w:rsidRPr="00C74E98">
        <w:t>When several internal University investigations found no proof of his allegations, he became convinced that the conspiracy was widespread. Several University disciplinary actions followed in response to his behaviour, one of which referred him to his GP who, in turn, referred him to a specialist who diagnosed paranoid schizophrenia.</w:t>
      </w:r>
    </w:p>
    <w:p w14:paraId="73ACD45C" w14:textId="77777777" w:rsidR="00260D97" w:rsidRDefault="00260D97" w:rsidP="00260D97">
      <w:pPr>
        <w:pStyle w:val="GG-body"/>
        <w:ind w:left="1134"/>
      </w:pPr>
      <w:r w:rsidRPr="00C74E98">
        <w:t xml:space="preserve">T would need to disclose the activities which preceded his reference to his GP. Given the seriousness of his diagnosis, it would also be prudent for T to declare that condition and how it is being treated and managed, as each of these matters reflect on whether he is </w:t>
      </w:r>
      <w:r w:rsidRPr="00C74E98">
        <w:rPr>
          <w:i/>
        </w:rPr>
        <w:t xml:space="preserve">currently </w:t>
      </w:r>
      <w:r w:rsidRPr="00C74E98">
        <w:t>able to carry out the inherent requirements of practice.</w:t>
      </w:r>
    </w:p>
    <w:p w14:paraId="485BC9CD" w14:textId="77777777" w:rsidR="00260D97" w:rsidRDefault="00260D97" w:rsidP="00260D97">
      <w:pPr>
        <w:pStyle w:val="GG-body"/>
        <w:ind w:left="1134"/>
      </w:pPr>
      <w:r w:rsidRPr="00C74E98">
        <w:t>Disclosing his condition and treatment to the Admitting Authority does not necessarily mean that he would not be admitted, however. The Admitting Authority would need to know whether, and if so how, his present difficulties are being overcome or managed.</w:t>
      </w:r>
    </w:p>
    <w:p w14:paraId="0459AB65" w14:textId="77777777" w:rsidR="00260D97" w:rsidRDefault="00260D97" w:rsidP="00260D97">
      <w:pPr>
        <w:pStyle w:val="GG-body"/>
        <w:ind w:left="284" w:hanging="278"/>
        <w:rPr>
          <w:bCs/>
        </w:rPr>
      </w:pPr>
      <w:bookmarkStart w:id="43" w:name="_Toc522014164"/>
      <w:bookmarkStart w:id="44" w:name="_Toc522106955"/>
      <w:r w:rsidRPr="00C74E98">
        <w:rPr>
          <w:b/>
        </w:rPr>
        <w:t>9</w:t>
      </w:r>
      <w:r w:rsidRPr="00C74E98">
        <w:rPr>
          <w:b/>
        </w:rPr>
        <w:tab/>
        <w:t>MATTERS PRESCRIBED BY LEGAL PROFESSION LEGISLATION</w:t>
      </w:r>
      <w:bookmarkEnd w:id="43"/>
      <w:bookmarkEnd w:id="44"/>
    </w:p>
    <w:p w14:paraId="7F110712" w14:textId="77777777" w:rsidR="00260D97" w:rsidRPr="00C74E98" w:rsidRDefault="00260D97" w:rsidP="00260D97">
      <w:pPr>
        <w:pStyle w:val="GG-body"/>
        <w:ind w:left="284"/>
      </w:pPr>
      <w:r w:rsidRPr="00C74E98">
        <w:t>You must disclose any matter relevant to an applicant</w:t>
      </w:r>
      <w:r>
        <w:t>’</w:t>
      </w:r>
      <w:r w:rsidRPr="00C74E98">
        <w:t xml:space="preserve">s suitability that is prescribed by legislation relating to the legal profession in the jurisdiction where you seek admission. The matters prescribed for Victoria </w:t>
      </w:r>
      <w:r w:rsidRPr="00C74E98">
        <w:rPr>
          <w:i/>
        </w:rPr>
        <w:t xml:space="preserve">[Insert name of relevant jurisdiction] </w:t>
      </w:r>
      <w:r w:rsidRPr="00C74E98">
        <w:t xml:space="preserve">are set out in </w:t>
      </w:r>
      <w:r w:rsidRPr="00C74E98">
        <w:rPr>
          <w:b/>
        </w:rPr>
        <w:t>Appendix 1</w:t>
      </w:r>
      <w:r w:rsidRPr="00C74E98">
        <w:t>.</w:t>
      </w:r>
    </w:p>
    <w:p w14:paraId="4B494562" w14:textId="77777777" w:rsidR="00260D97" w:rsidRDefault="00260D97" w:rsidP="00260D97">
      <w:pPr>
        <w:pStyle w:val="GG-body"/>
        <w:ind w:left="284" w:hanging="278"/>
      </w:pPr>
      <w:bookmarkStart w:id="45" w:name="_Toc522014165"/>
      <w:bookmarkStart w:id="46" w:name="_Toc522106956"/>
      <w:r w:rsidRPr="00C74E98">
        <w:rPr>
          <w:b/>
        </w:rPr>
        <w:t>10</w:t>
      </w:r>
      <w:r w:rsidRPr="00C74E98">
        <w:rPr>
          <w:b/>
        </w:rPr>
        <w:tab/>
      </w:r>
      <w:proofErr w:type="gramStart"/>
      <w:r w:rsidRPr="00C74E98">
        <w:rPr>
          <w:b/>
        </w:rPr>
        <w:t>FORM</w:t>
      </w:r>
      <w:proofErr w:type="gramEnd"/>
      <w:r w:rsidRPr="00C74E98">
        <w:rPr>
          <w:b/>
        </w:rPr>
        <w:t xml:space="preserve"> OF DISCLOSURE</w:t>
      </w:r>
      <w:bookmarkEnd w:id="45"/>
      <w:bookmarkEnd w:id="46"/>
    </w:p>
    <w:p w14:paraId="54F7A694" w14:textId="77777777" w:rsidR="00260D97" w:rsidRDefault="00260D97" w:rsidP="00260D97">
      <w:pPr>
        <w:pStyle w:val="GG-body"/>
        <w:ind w:left="284"/>
      </w:pPr>
      <w:r w:rsidRPr="00C74E98">
        <w:t xml:space="preserve">Any disclosure which you are required to make must be included either in your statutory declaration applying for a compliance certificate or, in the case of a disclosure about capacity, in a supplementary statutory declaration, if you prefer. To corroborate </w:t>
      </w:r>
      <w:proofErr w:type="gramStart"/>
      <w:r w:rsidRPr="00C74E98">
        <w:t>you</w:t>
      </w:r>
      <w:proofErr w:type="gramEnd"/>
      <w:r w:rsidRPr="00C74E98">
        <w:t xml:space="preserve"> disclosures, you should make any available supporting document an exhibit to your statutory declaration.</w:t>
      </w:r>
    </w:p>
    <w:p w14:paraId="3BBE5DC6" w14:textId="77777777" w:rsidR="00260D97" w:rsidRDefault="00260D97" w:rsidP="00260D97">
      <w:pPr>
        <w:pStyle w:val="GG-body"/>
        <w:jc w:val="center"/>
      </w:pPr>
      <w:bookmarkStart w:id="47" w:name="_Toc522014166"/>
      <w:bookmarkStart w:id="48" w:name="_Toc522106957"/>
      <w:r w:rsidRPr="00C74E98">
        <w:rPr>
          <w:b/>
        </w:rPr>
        <w:t>APPENDIX 1 OF DISCLOSURE GUIDELINES FOR APPLICANTS FOR ADMISSION</w:t>
      </w:r>
      <w:bookmarkEnd w:id="47"/>
      <w:bookmarkEnd w:id="48"/>
    </w:p>
    <w:p w14:paraId="11203EE3" w14:textId="77777777" w:rsidR="00260D97" w:rsidRDefault="00260D97" w:rsidP="00260D97">
      <w:pPr>
        <w:pStyle w:val="GG-body"/>
        <w:jc w:val="center"/>
      </w:pPr>
      <w:r w:rsidRPr="00C74E98">
        <w:rPr>
          <w:b/>
        </w:rPr>
        <w:t>PRESCRIBED MATTERS RELATING TO SUITABILITY FOR ADMISSION</w:t>
      </w:r>
    </w:p>
    <w:p w14:paraId="1D1948A8" w14:textId="77777777" w:rsidR="00260D97" w:rsidRDefault="00260D97" w:rsidP="00260D97">
      <w:pPr>
        <w:pStyle w:val="GG-body"/>
        <w:jc w:val="center"/>
      </w:pPr>
      <w:r w:rsidRPr="00C74E98">
        <w:rPr>
          <w:i/>
        </w:rPr>
        <w:t xml:space="preserve">[This Appendix must set out the </w:t>
      </w:r>
      <w:proofErr w:type="gramStart"/>
      <w:r w:rsidRPr="00C74E98">
        <w:rPr>
          <w:i/>
        </w:rPr>
        <w:t>particular matters</w:t>
      </w:r>
      <w:proofErr w:type="gramEnd"/>
      <w:r w:rsidRPr="00C74E98">
        <w:rPr>
          <w:i/>
        </w:rPr>
        <w:t xml:space="preserve"> relating to an applicant</w:t>
      </w:r>
      <w:r>
        <w:rPr>
          <w:i/>
        </w:rPr>
        <w:t>’</w:t>
      </w:r>
      <w:r w:rsidRPr="00C74E98">
        <w:rPr>
          <w:i/>
        </w:rPr>
        <w:t>s suitability for admission prescribed by or under legislation relating to the legal profession in the relevant jurisdiction in which these guidelines are issued. The following example is from the Legal Profession Uniform Admission Rules 2015, rule 10, which applies in New South Wales and Victoria.]</w:t>
      </w:r>
    </w:p>
    <w:p w14:paraId="6E0525BA" w14:textId="77777777" w:rsidR="00260D97" w:rsidRDefault="00260D97" w:rsidP="00260D97">
      <w:pPr>
        <w:pStyle w:val="GG-body"/>
      </w:pPr>
      <w:r w:rsidRPr="00C74E98">
        <w:t xml:space="preserve">As noted in items 4 and 8 of the Guidelines, your Admitting Authority is required to satisfy itself about each of the following matters. </w:t>
      </w:r>
      <w:proofErr w:type="gramStart"/>
      <w:r w:rsidRPr="00C74E98">
        <w:t>Accordingly</w:t>
      </w:r>
      <w:proofErr w:type="gramEnd"/>
      <w:r w:rsidRPr="00C74E98">
        <w:t xml:space="preserve"> you need to disclose anything that your Admitting Authority might consider relevant when satisfying itself about each of these matters.</w:t>
      </w:r>
    </w:p>
    <w:p w14:paraId="56854276" w14:textId="77777777" w:rsidR="00260D97" w:rsidRDefault="00260D97" w:rsidP="00260D97">
      <w:pPr>
        <w:pStyle w:val="GG-body"/>
        <w:ind w:left="426" w:hanging="426"/>
      </w:pPr>
      <w:r w:rsidRPr="001B1F25">
        <w:rPr>
          <w:bCs/>
          <w:spacing w:val="-2"/>
          <w:w w:val="99"/>
        </w:rPr>
        <w:t>(1)</w:t>
      </w:r>
      <w:r w:rsidRPr="001B1F25">
        <w:rPr>
          <w:bCs/>
          <w:spacing w:val="-2"/>
          <w:w w:val="99"/>
        </w:rPr>
        <w:tab/>
      </w:r>
      <w:r w:rsidRPr="00C74E98">
        <w:t>For the purposes of section 17(2)(b) of the Law, the following matters are specified as matters to which the Board must have regard</w:t>
      </w:r>
      <w:r>
        <w:t>—</w:t>
      </w:r>
    </w:p>
    <w:p w14:paraId="5153864D" w14:textId="77777777" w:rsidR="00260D97" w:rsidRDefault="00260D97" w:rsidP="00260D97">
      <w:pPr>
        <w:pStyle w:val="GG-body"/>
        <w:ind w:left="709" w:hanging="283"/>
      </w:pPr>
      <w:r w:rsidRPr="001B1F25">
        <w:t>a.</w:t>
      </w:r>
      <w:r w:rsidRPr="001B1F25">
        <w:tab/>
      </w:r>
      <w:r w:rsidRPr="00C74E98">
        <w:t>any statutory declaration as to the person</w:t>
      </w:r>
      <w:r>
        <w:t>’</w:t>
      </w:r>
      <w:r w:rsidRPr="00C74E98">
        <w:t>s character, referred to in rule16;</w:t>
      </w:r>
    </w:p>
    <w:p w14:paraId="0C542539" w14:textId="77777777" w:rsidR="00260D97" w:rsidRDefault="00260D97" w:rsidP="00260D97">
      <w:pPr>
        <w:pStyle w:val="GG-body"/>
        <w:ind w:left="709" w:hanging="283"/>
      </w:pPr>
      <w:r w:rsidRPr="001B1F25">
        <w:t>b.</w:t>
      </w:r>
      <w:r w:rsidRPr="001B1F25">
        <w:tab/>
      </w:r>
      <w:r w:rsidRPr="00C74E98">
        <w:t>any disclosure or statement made by the person under rule 17;</w:t>
      </w:r>
    </w:p>
    <w:p w14:paraId="1324A8BE" w14:textId="77777777" w:rsidR="00260D97" w:rsidRDefault="00260D97" w:rsidP="00260D97">
      <w:pPr>
        <w:pStyle w:val="GG-body"/>
        <w:ind w:left="709" w:hanging="283"/>
      </w:pPr>
      <w:r w:rsidRPr="001B1F25">
        <w:t>c.</w:t>
      </w:r>
      <w:r w:rsidRPr="001B1F25">
        <w:tab/>
      </w:r>
      <w:r w:rsidRPr="00C74E98">
        <w:t>any police report provided under rule 18;</w:t>
      </w:r>
    </w:p>
    <w:p w14:paraId="006A3ADF" w14:textId="77777777" w:rsidR="00260D97" w:rsidRDefault="00260D97" w:rsidP="00260D97">
      <w:pPr>
        <w:pStyle w:val="GG-body"/>
        <w:ind w:left="709" w:hanging="283"/>
      </w:pPr>
      <w:r w:rsidRPr="001B1F25">
        <w:t>d.</w:t>
      </w:r>
      <w:r w:rsidRPr="001B1F25">
        <w:tab/>
      </w:r>
      <w:r w:rsidRPr="00C74E98">
        <w:t>any academic conduct report provided under rule 19;</w:t>
      </w:r>
    </w:p>
    <w:p w14:paraId="0661392F" w14:textId="77777777" w:rsidR="00260D97" w:rsidRDefault="00260D97" w:rsidP="00260D97">
      <w:pPr>
        <w:pStyle w:val="GG-body"/>
        <w:ind w:left="709" w:hanging="283"/>
      </w:pPr>
      <w:r w:rsidRPr="001B1F25">
        <w:t>e.</w:t>
      </w:r>
      <w:r w:rsidRPr="001B1F25">
        <w:tab/>
      </w:r>
      <w:r w:rsidRPr="00C74E98">
        <w:t>any certificate of good standing provided under rule 20;</w:t>
      </w:r>
    </w:p>
    <w:p w14:paraId="5ADB6E14" w14:textId="77777777" w:rsidR="00260D97" w:rsidRDefault="00260D97" w:rsidP="00260D97">
      <w:pPr>
        <w:pStyle w:val="GG-body"/>
        <w:ind w:left="709" w:hanging="283"/>
      </w:pPr>
      <w:r w:rsidRPr="001B1F25">
        <w:t>f.</w:t>
      </w:r>
      <w:r w:rsidRPr="001B1F25">
        <w:tab/>
      </w:r>
      <w:r w:rsidRPr="00C74E98">
        <w:t>whether the person is currently of good reputation and character;</w:t>
      </w:r>
      <w:r>
        <w:br w:type="page"/>
      </w:r>
    </w:p>
    <w:p w14:paraId="2F1AEED5" w14:textId="77777777" w:rsidR="00260D97" w:rsidRDefault="00260D97" w:rsidP="00260D97">
      <w:pPr>
        <w:pStyle w:val="GG-body"/>
        <w:ind w:left="709" w:hanging="283"/>
      </w:pPr>
      <w:r w:rsidRPr="001B1F25">
        <w:lastRenderedPageBreak/>
        <w:t>g.</w:t>
      </w:r>
      <w:r w:rsidRPr="001B1F25">
        <w:tab/>
      </w:r>
      <w:r w:rsidRPr="00C74E98">
        <w:t xml:space="preserve">whether the person is or has been a bankrupt or subject to an arrangement under Part 10 of the </w:t>
      </w:r>
      <w:r w:rsidRPr="00C74E98">
        <w:rPr>
          <w:b/>
          <w:i/>
          <w:iCs/>
        </w:rPr>
        <w:t>Bankruptcy Act 1966</w:t>
      </w:r>
      <w:r w:rsidRPr="00C74E98">
        <w:rPr>
          <w:b/>
        </w:rPr>
        <w:t xml:space="preserve"> </w:t>
      </w:r>
      <w:r w:rsidRPr="00C74E98">
        <w:t>of the Commonwealth or has been an officer of a corporation that has been wound up in insolvency or under external administration;</w:t>
      </w:r>
    </w:p>
    <w:p w14:paraId="37493BBE" w14:textId="77777777" w:rsidR="00260D97" w:rsidRDefault="00260D97" w:rsidP="00260D97">
      <w:pPr>
        <w:pStyle w:val="GG-body"/>
        <w:ind w:left="709" w:hanging="283"/>
      </w:pPr>
      <w:r w:rsidRPr="001B1F25">
        <w:t>h.</w:t>
      </w:r>
      <w:r w:rsidRPr="001B1F25">
        <w:tab/>
      </w:r>
      <w:r w:rsidRPr="00C74E98">
        <w:t>whether the person has been found guilty of an offence including a spent offence in Australia or in a foreign country, and if so</w:t>
      </w:r>
      <w:r>
        <w:t>—</w:t>
      </w:r>
    </w:p>
    <w:p w14:paraId="0F85C41D" w14:textId="77777777" w:rsidR="00260D97" w:rsidRPr="00C74E98" w:rsidRDefault="00260D97" w:rsidP="00260D97">
      <w:pPr>
        <w:pStyle w:val="GG-body"/>
        <w:ind w:left="1134" w:hanging="425"/>
      </w:pPr>
      <w:r w:rsidRPr="001B1F25">
        <w:t>(</w:t>
      </w:r>
      <w:proofErr w:type="spellStart"/>
      <w:r w:rsidRPr="001B1F25">
        <w:t>i</w:t>
      </w:r>
      <w:proofErr w:type="spellEnd"/>
      <w:r w:rsidRPr="001B1F25">
        <w:t>)</w:t>
      </w:r>
      <w:r w:rsidRPr="001B1F25">
        <w:tab/>
      </w:r>
      <w:r w:rsidRPr="00C74E98">
        <w:t>the nature of the offence; and</w:t>
      </w:r>
    </w:p>
    <w:p w14:paraId="19C14914" w14:textId="77777777" w:rsidR="00260D97" w:rsidRPr="00C74E98" w:rsidRDefault="00260D97" w:rsidP="00260D97">
      <w:pPr>
        <w:pStyle w:val="GG-body"/>
        <w:ind w:left="1134" w:hanging="425"/>
      </w:pPr>
      <w:r w:rsidRPr="001B1F25">
        <w:t>(ii)</w:t>
      </w:r>
      <w:r w:rsidRPr="001B1F25">
        <w:tab/>
      </w:r>
      <w:r w:rsidRPr="00C74E98">
        <w:t>how long ago the offence was committed; and</w:t>
      </w:r>
    </w:p>
    <w:p w14:paraId="271D551D" w14:textId="77777777" w:rsidR="00260D97" w:rsidRDefault="00260D97" w:rsidP="00260D97">
      <w:pPr>
        <w:pStyle w:val="GG-body"/>
        <w:ind w:left="1134" w:hanging="425"/>
      </w:pPr>
      <w:r w:rsidRPr="001B1F25">
        <w:t>(iii)</w:t>
      </w:r>
      <w:r w:rsidRPr="001B1F25">
        <w:tab/>
      </w:r>
      <w:r w:rsidRPr="00C74E98">
        <w:t>the person</w:t>
      </w:r>
      <w:r>
        <w:t>’</w:t>
      </w:r>
      <w:r w:rsidRPr="00C74E98">
        <w:t>s age when the offence was committed;</w:t>
      </w:r>
    </w:p>
    <w:p w14:paraId="2B571300" w14:textId="77777777" w:rsidR="00260D97" w:rsidRDefault="00260D97" w:rsidP="00260D97">
      <w:pPr>
        <w:pStyle w:val="GG-body"/>
        <w:ind w:left="709" w:hanging="283"/>
      </w:pPr>
      <w:proofErr w:type="spellStart"/>
      <w:r w:rsidRPr="001B1F25">
        <w:t>i</w:t>
      </w:r>
      <w:proofErr w:type="spellEnd"/>
      <w:r w:rsidRPr="001B1F25">
        <w:t>.</w:t>
      </w:r>
      <w:r w:rsidRPr="001B1F25">
        <w:tab/>
      </w:r>
      <w:r w:rsidRPr="00C74E98">
        <w:t>whether the person has been the subject of any disciplinary action, howsoever expressed, in any profession or occupation in Australia or in a foreign country;</w:t>
      </w:r>
    </w:p>
    <w:p w14:paraId="4680BC32" w14:textId="77777777" w:rsidR="00260D97" w:rsidRDefault="00260D97" w:rsidP="00260D97">
      <w:pPr>
        <w:pStyle w:val="GG-body"/>
        <w:ind w:left="709" w:hanging="283"/>
      </w:pPr>
      <w:r w:rsidRPr="001B1F25">
        <w:t>j.</w:t>
      </w:r>
      <w:r w:rsidRPr="001B1F25">
        <w:tab/>
      </w:r>
      <w:r w:rsidRPr="00C74E98">
        <w:t>whether the person has been the subject of disciplinary action, howsoever expressed, in another profession or occupation that involved a finding adverse to the person;</w:t>
      </w:r>
    </w:p>
    <w:p w14:paraId="53C091CB" w14:textId="77777777" w:rsidR="00260D97" w:rsidRDefault="00260D97" w:rsidP="00260D97">
      <w:pPr>
        <w:pStyle w:val="GG-body"/>
        <w:ind w:left="709" w:hanging="283"/>
      </w:pPr>
      <w:r w:rsidRPr="001B1F25">
        <w:t>k.</w:t>
      </w:r>
      <w:r w:rsidRPr="001B1F25">
        <w:tab/>
      </w:r>
      <w:r w:rsidRPr="00C74E98">
        <w:t>whether the person is currently unable to satisfactorily carry out the inherent requirements of practice as an Australian legal practitioner;</w:t>
      </w:r>
    </w:p>
    <w:p w14:paraId="1DA60B77" w14:textId="77777777" w:rsidR="00260D97" w:rsidRDefault="00260D97" w:rsidP="00260D97">
      <w:pPr>
        <w:pStyle w:val="GG-body"/>
        <w:ind w:left="709" w:hanging="283"/>
      </w:pPr>
      <w:r w:rsidRPr="001B1F25">
        <w:t>l.</w:t>
      </w:r>
      <w:r w:rsidRPr="001B1F25">
        <w:tab/>
      </w:r>
      <w:r w:rsidRPr="00C74E98">
        <w:t>whether the person has a sufficient knowledge of written and spoken English to engage in legal practice in this jurisdiction.</w:t>
      </w:r>
    </w:p>
    <w:p w14:paraId="06128B3B" w14:textId="77777777" w:rsidR="00260D97" w:rsidRDefault="00260D97" w:rsidP="00260D97">
      <w:pPr>
        <w:pStyle w:val="GG-body"/>
        <w:spacing w:before="240"/>
        <w:jc w:val="left"/>
      </w:pPr>
      <w:r w:rsidRPr="00C74E98">
        <w:rPr>
          <w:b/>
          <w:bCs/>
        </w:rPr>
        <w:t>CHIEF JUSTICE</w:t>
      </w:r>
      <w:r w:rsidRPr="00E23AD0">
        <w:t>”</w:t>
      </w:r>
    </w:p>
    <w:p w14:paraId="1074165A" w14:textId="77777777" w:rsidR="00260D97" w:rsidRDefault="00260D97" w:rsidP="00260D97">
      <w:pPr>
        <w:pStyle w:val="GG-body"/>
        <w:pBdr>
          <w:top w:val="single" w:sz="4" w:space="1" w:color="auto"/>
        </w:pBdr>
        <w:spacing w:before="100" w:line="14" w:lineRule="exact"/>
        <w:ind w:left="1077" w:right="1077"/>
        <w:jc w:val="center"/>
      </w:pPr>
    </w:p>
    <w:p w14:paraId="508A2BD9" w14:textId="77777777" w:rsidR="00260D97" w:rsidRPr="00C74E98" w:rsidRDefault="00260D97" w:rsidP="00260D97">
      <w:pPr>
        <w:pStyle w:val="GG-body"/>
        <w:ind w:left="709" w:hanging="425"/>
      </w:pPr>
      <w:r w:rsidRPr="001B1F25">
        <w:rPr>
          <w:bCs/>
          <w:spacing w:val="-2"/>
        </w:rPr>
        <w:t>(b)</w:t>
      </w:r>
      <w:r w:rsidRPr="001B1F25">
        <w:rPr>
          <w:bCs/>
          <w:spacing w:val="-2"/>
        </w:rPr>
        <w:tab/>
      </w:r>
      <w:r w:rsidRPr="00C74E98">
        <w:t>and inserting the words:</w:t>
      </w:r>
    </w:p>
    <w:p w14:paraId="5FC103AA" w14:textId="77777777" w:rsidR="00260D97" w:rsidRDefault="00260D97" w:rsidP="00260D97">
      <w:pPr>
        <w:pStyle w:val="GG-body"/>
        <w:jc w:val="center"/>
        <w:rPr>
          <w:b/>
        </w:rPr>
      </w:pPr>
      <w:r w:rsidRPr="00E23AD0">
        <w:rPr>
          <w:bCs/>
        </w:rPr>
        <w:t>“</w:t>
      </w:r>
      <w:r w:rsidRPr="00C74E98">
        <w:rPr>
          <w:b/>
        </w:rPr>
        <w:t>LAW ADMISSIONS CONSULTATIVE COMMITTEE</w:t>
      </w:r>
      <w:r w:rsidRPr="00C74E98">
        <w:rPr>
          <w:b/>
          <w:vertAlign w:val="superscript"/>
        </w:rPr>
        <w:footnoteReference w:id="10"/>
      </w:r>
    </w:p>
    <w:p w14:paraId="0AB676D0" w14:textId="77777777" w:rsidR="00260D97" w:rsidRDefault="00260D97" w:rsidP="00260D97">
      <w:pPr>
        <w:pStyle w:val="GG-body"/>
        <w:jc w:val="center"/>
        <w:rPr>
          <w:b/>
        </w:rPr>
      </w:pPr>
      <w:r w:rsidRPr="00C74E98">
        <w:rPr>
          <w:b/>
        </w:rPr>
        <w:t>DISCLOSURE GUIDELINES FOR APPLICANTS FOR ADMISSION TO THE LEGAL PROFESSION</w:t>
      </w:r>
    </w:p>
    <w:p w14:paraId="14F8CC2D" w14:textId="77777777" w:rsidR="00260D97" w:rsidRDefault="00260D97" w:rsidP="00260D97">
      <w:pPr>
        <w:pStyle w:val="GG-body"/>
        <w:rPr>
          <w:b/>
        </w:rPr>
      </w:pPr>
      <w:r w:rsidRPr="00C74E98">
        <w:rPr>
          <w:b/>
        </w:rPr>
        <w:t>Caution</w:t>
      </w:r>
    </w:p>
    <w:p w14:paraId="27BDA02F" w14:textId="77777777" w:rsidR="00260D97" w:rsidRDefault="00260D97" w:rsidP="00260D97">
      <w:pPr>
        <w:pStyle w:val="GG-body"/>
        <w:ind w:left="284"/>
      </w:pPr>
      <w:r w:rsidRPr="00C74E98">
        <w:t>The Appendix to this document refers to legislation which applies in New South Wales, Victoria and Western Australia. Every other Admitting Authority may need to make minor adjustments to this document accurately to reflect variations in both the legislation and admission arrangements in that jurisdiction.</w:t>
      </w:r>
    </w:p>
    <w:p w14:paraId="30B6E9A4" w14:textId="77777777" w:rsidR="00260D97" w:rsidRDefault="00260D97" w:rsidP="00260D97">
      <w:pPr>
        <w:pStyle w:val="GG-body"/>
        <w:ind w:left="284"/>
      </w:pPr>
      <w:r w:rsidRPr="00C74E98">
        <w:rPr>
          <w:spacing w:val="-2"/>
        </w:rPr>
        <w:t xml:space="preserve">Applicants are therefore advised to consult any version of the attached Guidelines approved by the Admitting Authority in the jurisdiction </w:t>
      </w:r>
      <w:r w:rsidRPr="00C74E98">
        <w:t>in which admission is sought.</w:t>
      </w:r>
    </w:p>
    <w:p w14:paraId="742E05C0" w14:textId="77777777" w:rsidR="00260D97" w:rsidRDefault="00260D97" w:rsidP="00260D97">
      <w:pPr>
        <w:pStyle w:val="GG-body"/>
        <w:ind w:left="284" w:hanging="284"/>
        <w:rPr>
          <w:b/>
        </w:rPr>
      </w:pPr>
      <w:r w:rsidRPr="00C74E98">
        <w:rPr>
          <w:b/>
        </w:rPr>
        <w:t>1.</w:t>
      </w:r>
      <w:r>
        <w:rPr>
          <w:b/>
        </w:rPr>
        <w:tab/>
      </w:r>
      <w:r w:rsidRPr="00C74E98">
        <w:rPr>
          <w:b/>
        </w:rPr>
        <w:t>Purpose of these Guidelines</w:t>
      </w:r>
    </w:p>
    <w:p w14:paraId="249F9A67" w14:textId="77777777" w:rsidR="00260D97" w:rsidRDefault="00260D97" w:rsidP="00260D97">
      <w:pPr>
        <w:pStyle w:val="GG-body"/>
        <w:ind w:left="284"/>
      </w:pPr>
      <w:r w:rsidRPr="00C74E98">
        <w:t xml:space="preserve">As an applicant for admission, you need to satisfy your Admitting Authority that you are </w:t>
      </w:r>
      <w:r>
        <w:t>“</w:t>
      </w:r>
      <w:r w:rsidRPr="00C74E98">
        <w:t>a fit and proper person</w:t>
      </w:r>
      <w:r>
        <w:t>”</w:t>
      </w:r>
      <w:r w:rsidRPr="00C74E98">
        <w:t xml:space="preserve"> to be admitted to the legal profession.</w:t>
      </w:r>
      <w:r w:rsidRPr="00C74E98">
        <w:rPr>
          <w:vertAlign w:val="superscript"/>
        </w:rPr>
        <w:footnoteReference w:id="11"/>
      </w:r>
      <w:r w:rsidRPr="00C74E98">
        <w:t xml:space="preserve"> In all jurisdictions other than South Australia, the relevant legislation also requires the Admitting Authority to consider whether you are currently </w:t>
      </w:r>
      <w:r>
        <w:t>“</w:t>
      </w:r>
      <w:r w:rsidRPr="00C74E98">
        <w:t>of good fame and character</w:t>
      </w:r>
      <w:r>
        <w:t>”</w:t>
      </w:r>
      <w:r w:rsidRPr="00C74E98">
        <w:t>.</w:t>
      </w:r>
      <w:r w:rsidRPr="00C74E98">
        <w:rPr>
          <w:vertAlign w:val="superscript"/>
        </w:rPr>
        <w:footnoteReference w:id="12"/>
      </w:r>
      <w:r w:rsidRPr="00C74E98">
        <w:rPr>
          <w:vertAlign w:val="superscript"/>
        </w:rPr>
        <w:t xml:space="preserve"> </w:t>
      </w:r>
      <w:r w:rsidRPr="00C74E98">
        <w:t>Each of these tests reflects the overarching requirements of the pre-existing common law.</w:t>
      </w:r>
    </w:p>
    <w:p w14:paraId="19F31A71" w14:textId="77777777" w:rsidR="00260D97" w:rsidRDefault="00260D97" w:rsidP="00260D97">
      <w:pPr>
        <w:pStyle w:val="GG-body"/>
        <w:ind w:left="284"/>
      </w:pPr>
      <w:r w:rsidRPr="00C74E98">
        <w:t>The purposes of these Guidelines are:</w:t>
      </w:r>
    </w:p>
    <w:p w14:paraId="1E4A1D4C" w14:textId="77777777" w:rsidR="00260D97" w:rsidRDefault="00260D97" w:rsidP="00260D97">
      <w:pPr>
        <w:pStyle w:val="GG-body"/>
        <w:ind w:left="851" w:hanging="425"/>
      </w:pPr>
      <w:r w:rsidRPr="001B1F25">
        <w:rPr>
          <w:rFonts w:eastAsia="Arial"/>
          <w:color w:val="000000"/>
          <w:u w:color="000000"/>
        </w:rPr>
        <w:t>(a)</w:t>
      </w:r>
      <w:r w:rsidRPr="001B1F25">
        <w:rPr>
          <w:rFonts w:eastAsia="Arial"/>
          <w:color w:val="000000"/>
          <w:u w:color="000000"/>
        </w:rPr>
        <w:tab/>
      </w:r>
      <w:r w:rsidRPr="00C74E98">
        <w:t xml:space="preserve">to emphasise that Admitting Authorities and Courts place a duty and onus squarely on </w:t>
      </w:r>
      <w:r w:rsidRPr="00C74E98">
        <w:rPr>
          <w:i/>
        </w:rPr>
        <w:t xml:space="preserve">you </w:t>
      </w:r>
      <w:r w:rsidRPr="00C74E98">
        <w:t xml:space="preserve">to disclose to your Admitting Authority any matter that could influence its decision about whether you are </w:t>
      </w:r>
      <w:r>
        <w:t>“</w:t>
      </w:r>
      <w:r w:rsidRPr="00C74E98">
        <w:t>currently of good fame and character</w:t>
      </w:r>
      <w:r>
        <w:t>”</w:t>
      </w:r>
      <w:r w:rsidRPr="00C74E98">
        <w:t xml:space="preserve"> and </w:t>
      </w:r>
      <w:r>
        <w:t>“</w:t>
      </w:r>
      <w:r w:rsidRPr="00C74E98">
        <w:t>a fit and proper person</w:t>
      </w:r>
      <w:r>
        <w:t>”</w:t>
      </w:r>
    </w:p>
    <w:p w14:paraId="1C52A196" w14:textId="77777777" w:rsidR="00260D97" w:rsidRPr="00A160AA" w:rsidRDefault="00260D97" w:rsidP="00260D97">
      <w:pPr>
        <w:pStyle w:val="GG-body"/>
        <w:ind w:left="851" w:hanging="425"/>
        <w:rPr>
          <w:spacing w:val="-2"/>
        </w:rPr>
      </w:pPr>
      <w:r w:rsidRPr="001B1F25">
        <w:rPr>
          <w:rFonts w:eastAsia="Arial"/>
          <w:color w:val="000000"/>
          <w:u w:color="000000"/>
        </w:rPr>
        <w:t>(b)</w:t>
      </w:r>
      <w:r w:rsidRPr="001B1F25">
        <w:rPr>
          <w:rFonts w:eastAsia="Arial"/>
          <w:color w:val="000000"/>
          <w:u w:color="000000"/>
        </w:rPr>
        <w:tab/>
      </w:r>
      <w:r w:rsidRPr="00C74E98">
        <w:rPr>
          <w:rFonts w:eastAsia="Arial"/>
          <w:color w:val="000000"/>
          <w:spacing w:val="-2"/>
          <w:u w:color="000000"/>
        </w:rPr>
        <w:t>to</w:t>
      </w:r>
      <w:r w:rsidRPr="00C74E98">
        <w:rPr>
          <w:spacing w:val="-2"/>
        </w:rPr>
        <w:t xml:space="preserve"> explain that, when you do make a disclosure, you must do so honestly and candidly, and be full and frank in what you say, and</w:t>
      </w:r>
    </w:p>
    <w:p w14:paraId="290DBB14" w14:textId="77777777" w:rsidR="00260D97" w:rsidRDefault="00260D97" w:rsidP="00260D97">
      <w:pPr>
        <w:pStyle w:val="GG-body"/>
        <w:ind w:left="851" w:hanging="425"/>
      </w:pPr>
      <w:r w:rsidRPr="001B1F25">
        <w:rPr>
          <w:rFonts w:eastAsia="Arial"/>
          <w:color w:val="000000"/>
          <w:u w:color="000000"/>
        </w:rPr>
        <w:t>(c)</w:t>
      </w:r>
      <w:r w:rsidRPr="001B1F25">
        <w:rPr>
          <w:rFonts w:eastAsia="Arial"/>
          <w:color w:val="000000"/>
          <w:u w:color="000000"/>
        </w:rPr>
        <w:tab/>
      </w:r>
      <w:r w:rsidRPr="00C74E98">
        <w:t>to remind you that failure to do so, if subsequently discovered, can have catastrophic consequences. You might either be refused admission, or struck off the roll, if you have been admitted without making a full disclosure.</w:t>
      </w:r>
    </w:p>
    <w:p w14:paraId="0ECEC1F7" w14:textId="77777777" w:rsidR="00260D97" w:rsidRDefault="00260D97" w:rsidP="00260D97">
      <w:pPr>
        <w:pStyle w:val="GG-body"/>
        <w:ind w:left="284"/>
      </w:pPr>
      <w:r w:rsidRPr="00C74E98">
        <w:t xml:space="preserve">There are many judicial explanations of what the phrase </w:t>
      </w:r>
      <w:r>
        <w:t>“</w:t>
      </w:r>
      <w:r w:rsidRPr="00C74E98">
        <w:t>fit and proper person</w:t>
      </w:r>
      <w:r>
        <w:t>”</w:t>
      </w:r>
      <w:r w:rsidRPr="00C74E98">
        <w:t xml:space="preserve"> means in different contexts. For example</w:t>
      </w:r>
      <w:r>
        <w:t>—</w:t>
      </w:r>
    </w:p>
    <w:p w14:paraId="2CF3D016" w14:textId="77777777" w:rsidR="00260D97" w:rsidRDefault="00260D97" w:rsidP="00260D97">
      <w:pPr>
        <w:pStyle w:val="GG-body"/>
        <w:ind w:left="426"/>
      </w:pPr>
      <w:r w:rsidRPr="00C74E98">
        <w:t>The requirement for admission to practice (</w:t>
      </w:r>
      <w:r w:rsidRPr="00C74E98">
        <w:rPr>
          <w:i/>
        </w:rPr>
        <w:t>sic</w:t>
      </w:r>
      <w:r w:rsidRPr="00C74E98">
        <w:t xml:space="preserve">) law that the applicant be a fit and proper person, means that the applicant must have the personal qualities of character which are necessary to discharge the important and grave responsibilities of being a barrister and solicitor. A legal practitioner, upon being admitted to practice, assumes duties to the courts, to fellow practitioners as well as to clients. At the heart of </w:t>
      </w:r>
      <w:proofErr w:type="gramStart"/>
      <w:r w:rsidRPr="00C74E98">
        <w:t>all of</w:t>
      </w:r>
      <w:proofErr w:type="gramEnd"/>
      <w:r w:rsidRPr="00C74E98">
        <w:t xml:space="preserve"> those duties is a commitment to honesty and, in those circumstances when it is required, to open candour and frankness, irrespective of </w:t>
      </w:r>
      <w:proofErr w:type="spellStart"/>
      <w:r w:rsidRPr="00C74E98">
        <w:t>self interest</w:t>
      </w:r>
      <w:proofErr w:type="spellEnd"/>
      <w:r w:rsidRPr="00C74E98">
        <w:t xml:space="preserve"> or embarrassment. The entire administration of justice in any community which is governed by law depends upon the honest working of legal practitioners who can be relied upon to meet high standards of honesty and ethical behaviour. It is the legal practitioner who is effectively the daily minister and executor in the administration of justice when advising clients, acting for clients, certifying documents, and making presentations to courts, governments, other professionals, and so on. The level and extent of trust placed in what legal practitioners say or do is necessarily high and the need for honesty is </w:t>
      </w:r>
      <w:proofErr w:type="spellStart"/>
      <w:r w:rsidRPr="00C74E98">
        <w:t>self evident</w:t>
      </w:r>
      <w:proofErr w:type="spellEnd"/>
      <w:r w:rsidRPr="00C74E98">
        <w:t xml:space="preserve"> and essential.</w:t>
      </w:r>
      <w:r w:rsidRPr="00C74E98">
        <w:rPr>
          <w:vertAlign w:val="superscript"/>
        </w:rPr>
        <w:footnoteReference w:id="13"/>
      </w:r>
    </w:p>
    <w:p w14:paraId="2082AE0A" w14:textId="77777777" w:rsidR="00260D97" w:rsidRDefault="00260D97" w:rsidP="00260D97">
      <w:pPr>
        <w:pStyle w:val="GG-body"/>
        <w:ind w:left="284" w:hanging="284"/>
        <w:rPr>
          <w:b/>
        </w:rPr>
      </w:pPr>
      <w:r w:rsidRPr="00C74E98">
        <w:rPr>
          <w:b/>
        </w:rPr>
        <w:t>2.</w:t>
      </w:r>
      <w:r>
        <w:rPr>
          <w:b/>
        </w:rPr>
        <w:tab/>
      </w:r>
      <w:r w:rsidRPr="00C74E98">
        <w:rPr>
          <w:b/>
        </w:rPr>
        <w:t>Status of these Guidelines</w:t>
      </w:r>
    </w:p>
    <w:p w14:paraId="505B8B80" w14:textId="77777777" w:rsidR="00260D97" w:rsidRDefault="00260D97" w:rsidP="00260D97">
      <w:pPr>
        <w:pStyle w:val="GG-body"/>
        <w:ind w:left="284"/>
      </w:pPr>
      <w:r w:rsidRPr="00C74E98">
        <w:t>These Guidelines do not, and cannot, diminish or supplant in any way your personal duty to disclose any matter which may bear on your fitness for admission. They merely provide information about how Admitting Authorities approach the requirement of disclosure. They also give examples of matters which you might otherwise overlook when deciding what to disclose.</w:t>
      </w:r>
    </w:p>
    <w:p w14:paraId="63038D7B" w14:textId="77777777" w:rsidR="00260D97" w:rsidRPr="00326798" w:rsidRDefault="00260D97" w:rsidP="00260D97">
      <w:pPr>
        <w:pStyle w:val="GG-body"/>
        <w:ind w:left="284"/>
      </w:pPr>
      <w:r w:rsidRPr="00C74E98">
        <w:t xml:space="preserve">The examples given are not, and could not be, comprehensive or exhaustive. You must disclose any matter which is or might be relevant to your fitness, </w:t>
      </w:r>
      <w:proofErr w:type="gramStart"/>
      <w:r w:rsidRPr="00C74E98">
        <w:t>whether or not</w:t>
      </w:r>
      <w:proofErr w:type="gramEnd"/>
      <w:r w:rsidRPr="00C74E98">
        <w:t xml:space="preserve"> that matter is mentioned in these Guidelines. Please err on the side of disclosing, rather than concealing, information that might turn out to be relevant in the eyes of an Admitting Authority.</w:t>
      </w:r>
      <w:r>
        <w:rPr>
          <w:b/>
        </w:rPr>
        <w:br w:type="page"/>
      </w:r>
    </w:p>
    <w:p w14:paraId="1A579BAD" w14:textId="77777777" w:rsidR="00260D97" w:rsidRDefault="00260D97" w:rsidP="00260D97">
      <w:pPr>
        <w:pStyle w:val="GG-body"/>
        <w:ind w:left="284" w:hanging="284"/>
        <w:rPr>
          <w:b/>
        </w:rPr>
      </w:pPr>
      <w:r w:rsidRPr="00C74E98">
        <w:rPr>
          <w:b/>
        </w:rPr>
        <w:lastRenderedPageBreak/>
        <w:t>3.</w:t>
      </w:r>
      <w:r>
        <w:rPr>
          <w:b/>
        </w:rPr>
        <w:tab/>
      </w:r>
      <w:r w:rsidRPr="00C74E98">
        <w:rPr>
          <w:b/>
        </w:rPr>
        <w:t>Relevant principles</w:t>
      </w:r>
    </w:p>
    <w:p w14:paraId="2DFBF638" w14:textId="77777777" w:rsidR="00260D97" w:rsidRDefault="00260D97" w:rsidP="00260D97">
      <w:pPr>
        <w:pStyle w:val="GG-body"/>
        <w:ind w:left="284"/>
      </w:pPr>
      <w:r w:rsidRPr="00C74E98">
        <w:t>Your Admitting Authority will apply the following principles when determining your fitness for admission.</w:t>
      </w:r>
    </w:p>
    <w:p w14:paraId="362188ED" w14:textId="77777777" w:rsidR="00260D97" w:rsidRDefault="00260D97" w:rsidP="00260D97">
      <w:pPr>
        <w:pStyle w:val="GG-body"/>
        <w:ind w:left="851" w:hanging="425"/>
      </w:pPr>
      <w:r w:rsidRPr="001B1F25">
        <w:rPr>
          <w:rFonts w:eastAsia="Arial"/>
          <w:color w:val="000000"/>
          <w:u w:color="000000"/>
        </w:rPr>
        <w:t>(a)</w:t>
      </w:r>
      <w:r w:rsidRPr="001B1F25">
        <w:rPr>
          <w:rFonts w:eastAsia="Arial"/>
          <w:color w:val="000000"/>
          <w:u w:color="000000"/>
        </w:rPr>
        <w:tab/>
      </w:r>
      <w:r w:rsidRPr="00C74E98">
        <w:t xml:space="preserve">The onus is squarely on </w:t>
      </w:r>
      <w:r w:rsidRPr="00C74E98">
        <w:rPr>
          <w:i/>
        </w:rPr>
        <w:t>you</w:t>
      </w:r>
      <w:r w:rsidRPr="00C74E98">
        <w:t xml:space="preserve"> to establish your fitness.</w:t>
      </w:r>
    </w:p>
    <w:p w14:paraId="3F8EC9FC" w14:textId="77777777" w:rsidR="00260D97" w:rsidRDefault="00260D97" w:rsidP="00260D97">
      <w:pPr>
        <w:pStyle w:val="GG-body"/>
        <w:ind w:left="851" w:hanging="425"/>
      </w:pPr>
      <w:r w:rsidRPr="001B1F25">
        <w:rPr>
          <w:rFonts w:eastAsia="Arial"/>
          <w:color w:val="000000"/>
          <w:u w:color="000000"/>
        </w:rPr>
        <w:t>(b)</w:t>
      </w:r>
      <w:r w:rsidRPr="001B1F25">
        <w:rPr>
          <w:rFonts w:eastAsia="Arial"/>
          <w:color w:val="000000"/>
          <w:u w:color="000000"/>
        </w:rPr>
        <w:tab/>
      </w:r>
      <w:r w:rsidRPr="00C74E98">
        <w:rPr>
          <w:spacing w:val="-4"/>
        </w:rPr>
        <w:t>The statutory test is cast in the present tense</w:t>
      </w:r>
      <w:r w:rsidRPr="009F7A05">
        <w:rPr>
          <w:spacing w:val="-4"/>
        </w:rPr>
        <w:t>—</w:t>
      </w:r>
      <w:r w:rsidRPr="00C74E98">
        <w:rPr>
          <w:spacing w:val="-4"/>
        </w:rPr>
        <w:t xml:space="preserve">whether you are </w:t>
      </w:r>
      <w:r w:rsidRPr="009F7A05">
        <w:rPr>
          <w:spacing w:val="-4"/>
        </w:rPr>
        <w:t>“</w:t>
      </w:r>
      <w:r w:rsidRPr="00C74E98">
        <w:rPr>
          <w:i/>
          <w:spacing w:val="-4"/>
        </w:rPr>
        <w:t>currently</w:t>
      </w:r>
      <w:r w:rsidRPr="00C74E98">
        <w:rPr>
          <w:spacing w:val="-4"/>
        </w:rPr>
        <w:t xml:space="preserve"> of good fame and character</w:t>
      </w:r>
      <w:r w:rsidRPr="009F7A05">
        <w:rPr>
          <w:spacing w:val="-4"/>
        </w:rPr>
        <w:t>”</w:t>
      </w:r>
      <w:r w:rsidRPr="00C74E98">
        <w:rPr>
          <w:spacing w:val="-4"/>
        </w:rPr>
        <w:t xml:space="preserve"> and, except in South Australia,</w:t>
      </w:r>
      <w:r w:rsidRPr="00C74E98">
        <w:t xml:space="preserve"> whether an applicant </w:t>
      </w:r>
      <w:r>
        <w:t>“</w:t>
      </w:r>
      <w:r w:rsidRPr="00C74E98">
        <w:rPr>
          <w:i/>
        </w:rPr>
        <w:t>is</w:t>
      </w:r>
      <w:r w:rsidRPr="00C74E98">
        <w:t xml:space="preserve"> a fit and proper person</w:t>
      </w:r>
      <w:r>
        <w:t>”</w:t>
      </w:r>
      <w:r w:rsidRPr="00C74E98">
        <w:t xml:space="preserve">. Your </w:t>
      </w:r>
      <w:r w:rsidRPr="00C74E98">
        <w:rPr>
          <w:i/>
        </w:rPr>
        <w:t>past</w:t>
      </w:r>
      <w:r w:rsidRPr="00C74E98">
        <w:t xml:space="preserve"> conduct, though relevant, is therefore not decisive.</w:t>
      </w:r>
    </w:p>
    <w:p w14:paraId="63E792E0" w14:textId="77777777" w:rsidR="00260D97" w:rsidRDefault="00260D97" w:rsidP="00260D97">
      <w:pPr>
        <w:pStyle w:val="GG-body"/>
        <w:ind w:left="851" w:hanging="425"/>
      </w:pPr>
      <w:r w:rsidRPr="001B1F25">
        <w:rPr>
          <w:rFonts w:eastAsia="Arial"/>
          <w:color w:val="000000"/>
          <w:u w:color="000000"/>
        </w:rPr>
        <w:t>(c)</w:t>
      </w:r>
      <w:r w:rsidRPr="001B1F25">
        <w:rPr>
          <w:rFonts w:eastAsia="Arial"/>
          <w:color w:val="000000"/>
          <w:u w:color="000000"/>
        </w:rPr>
        <w:tab/>
      </w:r>
      <w:r w:rsidRPr="00536A2E">
        <w:rPr>
          <w:spacing w:val="-2"/>
        </w:rPr>
        <w:t>The honesty and candour with which you make any disclosure is relevant when determining your present fitness. High standards</w:t>
      </w:r>
      <w:r w:rsidRPr="0017410E">
        <w:t xml:space="preserve"> are applied in assessing honesty and candour. Full and frank disclosure is essential</w:t>
      </w:r>
      <w:r>
        <w:t>—</w:t>
      </w:r>
      <w:r w:rsidRPr="0017410E">
        <w:t>although in most circumstances your disclosure of past indiscretions will not result in you being denied admission.</w:t>
      </w:r>
    </w:p>
    <w:p w14:paraId="45FA7C68" w14:textId="77777777" w:rsidR="00260D97" w:rsidRDefault="00260D97" w:rsidP="00260D97">
      <w:pPr>
        <w:pStyle w:val="GG-body"/>
        <w:ind w:left="851" w:hanging="425"/>
      </w:pPr>
      <w:r w:rsidRPr="001B1F25">
        <w:rPr>
          <w:rFonts w:eastAsia="Arial"/>
          <w:color w:val="000000"/>
          <w:u w:color="000000"/>
        </w:rPr>
        <w:t>(d)</w:t>
      </w:r>
      <w:r w:rsidRPr="001B1F25">
        <w:rPr>
          <w:rFonts w:eastAsia="Arial"/>
          <w:color w:val="000000"/>
          <w:u w:color="000000"/>
        </w:rPr>
        <w:tab/>
      </w:r>
      <w:r w:rsidRPr="00C74E98">
        <w:t>Your present understanding and estimation of your past conduct at the time you make your application is relevant.</w:t>
      </w:r>
    </w:p>
    <w:p w14:paraId="3583843D" w14:textId="77777777" w:rsidR="00260D97" w:rsidRDefault="00260D97" w:rsidP="00260D97">
      <w:pPr>
        <w:pStyle w:val="GG-body"/>
        <w:ind w:left="851" w:hanging="425"/>
      </w:pPr>
      <w:r w:rsidRPr="001B1F25">
        <w:rPr>
          <w:rFonts w:eastAsia="Arial"/>
          <w:color w:val="000000"/>
          <w:u w:color="000000"/>
        </w:rPr>
        <w:t>(e)</w:t>
      </w:r>
      <w:r w:rsidRPr="001B1F25">
        <w:rPr>
          <w:rFonts w:eastAsia="Arial"/>
          <w:color w:val="000000"/>
          <w:u w:color="000000"/>
        </w:rPr>
        <w:tab/>
      </w:r>
      <w:r w:rsidRPr="00C74E98">
        <w:t>Any disclosure you make that may be relevant to whether you are currently able to carry out the inherent requirements of practice is confidential.</w:t>
      </w:r>
    </w:p>
    <w:p w14:paraId="1174E590" w14:textId="77777777" w:rsidR="00260D97" w:rsidRDefault="00260D97" w:rsidP="00260D97">
      <w:pPr>
        <w:pStyle w:val="GG-body"/>
        <w:ind w:left="284" w:hanging="284"/>
        <w:rPr>
          <w:b/>
        </w:rPr>
      </w:pPr>
      <w:r w:rsidRPr="00C74E98">
        <w:rPr>
          <w:b/>
        </w:rPr>
        <w:t>4.</w:t>
      </w:r>
      <w:r>
        <w:rPr>
          <w:b/>
        </w:rPr>
        <w:tab/>
      </w:r>
      <w:r w:rsidRPr="00C74E98">
        <w:rPr>
          <w:b/>
        </w:rPr>
        <w:t>What you need to disclose</w:t>
      </w:r>
    </w:p>
    <w:p w14:paraId="4C979124" w14:textId="77777777" w:rsidR="00260D97" w:rsidRDefault="00260D97" w:rsidP="00260D97">
      <w:pPr>
        <w:pStyle w:val="GG-body"/>
        <w:ind w:left="284"/>
      </w:pPr>
      <w:r w:rsidRPr="00C74E98">
        <w:t>Your duty is to disclose any matter that might be relevant to your Admitting Authority considering whether you are currently of good fame and character and are a fit and proper person for admission to the legal profession.</w:t>
      </w:r>
    </w:p>
    <w:p w14:paraId="6DA7E505" w14:textId="77777777" w:rsidR="00260D97" w:rsidRDefault="00260D97" w:rsidP="00260D97">
      <w:pPr>
        <w:pStyle w:val="GG-body"/>
        <w:ind w:left="284"/>
      </w:pPr>
      <w:r w:rsidRPr="00C74E98">
        <w:t xml:space="preserve">This means that you </w:t>
      </w:r>
      <w:r w:rsidRPr="00C74E98">
        <w:rPr>
          <w:i/>
        </w:rPr>
        <w:t>must</w:t>
      </w:r>
      <w:r w:rsidRPr="00C74E98">
        <w:t xml:space="preserve"> state whether any of the matters set out in </w:t>
      </w:r>
      <w:r w:rsidRPr="00C74E98">
        <w:rPr>
          <w:b/>
        </w:rPr>
        <w:t>Appendix 1</w:t>
      </w:r>
      <w:r w:rsidRPr="00C74E98">
        <w:t xml:space="preserve"> applies to you. Your Admitting Authority has a statutory duty to have regard to each of those matters when considering your application.</w:t>
      </w:r>
    </w:p>
    <w:p w14:paraId="5D09F3F1" w14:textId="77777777" w:rsidR="00260D97" w:rsidRDefault="00260D97" w:rsidP="00260D97">
      <w:pPr>
        <w:pStyle w:val="GG-body"/>
        <w:ind w:left="284"/>
      </w:pPr>
      <w:r w:rsidRPr="00C74E98">
        <w:t xml:space="preserve">But you also need to disclose any </w:t>
      </w:r>
      <w:r w:rsidRPr="00C74E98">
        <w:rPr>
          <w:i/>
        </w:rPr>
        <w:t>other</w:t>
      </w:r>
      <w:r w:rsidRPr="00C74E98">
        <w:t xml:space="preserve"> matter that might be relevant to your Admitting Authority</w:t>
      </w:r>
      <w:r>
        <w:t>’</w:t>
      </w:r>
      <w:r w:rsidRPr="00C74E98">
        <w:t>s decision about whether you are a fit and proper person for admission. Courts now clearly consider that you must disclose any matters relevant to the assessment of your honesty.</w:t>
      </w:r>
    </w:p>
    <w:p w14:paraId="61E03998" w14:textId="77777777" w:rsidR="00260D97" w:rsidRDefault="00260D97" w:rsidP="00260D97">
      <w:pPr>
        <w:pStyle w:val="GG-body"/>
        <w:ind w:left="284"/>
      </w:pPr>
      <w:proofErr w:type="gramStart"/>
      <w:r w:rsidRPr="00C74E98">
        <w:t>Unfortunately</w:t>
      </w:r>
      <w:proofErr w:type="gramEnd"/>
      <w:r w:rsidRPr="00C74E98">
        <w:t xml:space="preserve"> it is not possible to provide you with an exhaustive list of everything that might turn out to be relevant to assessing whether you are currently of good fame and character, or a fit and proper person for admission</w:t>
      </w:r>
      <w:r>
        <w:t>—</w:t>
      </w:r>
      <w:r w:rsidRPr="00C74E98">
        <w:t>and which you should therefore disclose.</w:t>
      </w:r>
    </w:p>
    <w:p w14:paraId="720E5C46" w14:textId="77777777" w:rsidR="00260D97" w:rsidRDefault="00260D97" w:rsidP="00260D97">
      <w:pPr>
        <w:pStyle w:val="GG-body"/>
        <w:ind w:left="284"/>
      </w:pPr>
      <w:r w:rsidRPr="00C74E98">
        <w:t xml:space="preserve">Generally, however, your duty is to disclose </w:t>
      </w:r>
      <w:r w:rsidRPr="00C74E98">
        <w:rPr>
          <w:i/>
        </w:rPr>
        <w:t>any</w:t>
      </w:r>
      <w:r w:rsidRPr="00C74E98">
        <w:t xml:space="preserve"> matter which does or might reflect negatively on your honesty, candour, respect for the law or ability to meet professional standards. You need to provide a full account of any such matter, including a description of your conduct (whether acts or omissions).</w:t>
      </w:r>
    </w:p>
    <w:p w14:paraId="2BF6E463" w14:textId="77777777" w:rsidR="00260D97" w:rsidRDefault="00260D97" w:rsidP="00260D97">
      <w:pPr>
        <w:pStyle w:val="GG-body"/>
        <w:ind w:left="284"/>
      </w:pPr>
      <w:r w:rsidRPr="00C74E98">
        <w:t xml:space="preserve">Avoid editing, or just selecting those matters that </w:t>
      </w:r>
      <w:r w:rsidRPr="00C74E98">
        <w:rPr>
          <w:i/>
        </w:rPr>
        <w:t>you</w:t>
      </w:r>
      <w:r w:rsidRPr="00C74E98">
        <w:t xml:space="preserve"> believe </w:t>
      </w:r>
      <w:r w:rsidRPr="00C74E98">
        <w:rPr>
          <w:i/>
        </w:rPr>
        <w:t>should</w:t>
      </w:r>
      <w:r w:rsidRPr="00C74E98">
        <w:t xml:space="preserve"> be relevant to your Admitting Authority</w:t>
      </w:r>
      <w:r>
        <w:t>’</w:t>
      </w:r>
      <w:r w:rsidRPr="00C74E98">
        <w:t>s decision. Rather, you need to fully disclose every matter that might fairly assist the Admitting Authority or a Court in deciding whether you are a fit and proper person.</w:t>
      </w:r>
    </w:p>
    <w:p w14:paraId="39A486A7" w14:textId="77777777" w:rsidR="00260D97" w:rsidRPr="00730669" w:rsidRDefault="00260D97" w:rsidP="00260D97">
      <w:pPr>
        <w:pStyle w:val="GG-body"/>
        <w:ind w:left="426"/>
      </w:pPr>
      <w:r w:rsidRPr="00C74E98">
        <w:t>Revealing more than might strictly be necessary counts in favour of an applicant</w:t>
      </w:r>
      <w:r w:rsidRPr="00730669">
        <w:t>—</w:t>
      </w:r>
      <w:r w:rsidRPr="00C74E98">
        <w:t>especially where the disclosure still carries embarrassment or discomfort. Revealing less than may be necessary distorts the proper assessment of the applicant and may itself show an inappropriate desire to distort by selecting and screening relevant facts.</w:t>
      </w:r>
      <w:r w:rsidRPr="00C74E98">
        <w:rPr>
          <w:vertAlign w:val="superscript"/>
        </w:rPr>
        <w:footnoteReference w:id="14"/>
      </w:r>
    </w:p>
    <w:p w14:paraId="77CE8297" w14:textId="77777777" w:rsidR="00260D97" w:rsidRDefault="00260D97" w:rsidP="00260D97">
      <w:pPr>
        <w:pStyle w:val="GG-body"/>
        <w:ind w:left="284"/>
      </w:pPr>
      <w:r w:rsidRPr="00C74E98">
        <w:t>You should specifically disclose matters even if they are widely known or in the public domain. Do not assume that the admitting authority will be aware of, or will inform itself of, matters that are in the public domain or which have been reported in the media or legal databases.</w:t>
      </w:r>
    </w:p>
    <w:p w14:paraId="4874D776" w14:textId="77777777" w:rsidR="00260D97" w:rsidRDefault="00260D97" w:rsidP="00260D97">
      <w:pPr>
        <w:pStyle w:val="GG-body"/>
        <w:ind w:left="284"/>
      </w:pPr>
      <w:r w:rsidRPr="00C74E98">
        <w:t>You will find a list of helpful dos and don</w:t>
      </w:r>
      <w:r>
        <w:t>’</w:t>
      </w:r>
      <w:r w:rsidRPr="00C74E98">
        <w:t>ts in item 6 below to help you decide how to frame any disclosure you need to make. Item</w:t>
      </w:r>
      <w:r>
        <w:t> </w:t>
      </w:r>
      <w:r w:rsidRPr="00C74E98">
        <w:t>8 also includes further information about disclosures about your capacity.</w:t>
      </w:r>
    </w:p>
    <w:p w14:paraId="457AA667" w14:textId="77777777" w:rsidR="00260D97" w:rsidRDefault="00260D97" w:rsidP="00260D97">
      <w:pPr>
        <w:pStyle w:val="GG-body"/>
        <w:ind w:left="284"/>
      </w:pPr>
      <w:r w:rsidRPr="00C74E98">
        <w:t>Note that if you don</w:t>
      </w:r>
      <w:r>
        <w:t>’</w:t>
      </w:r>
      <w:r w:rsidRPr="00C74E98">
        <w:t>t disclose anything, you must include the following statement in your application:</w:t>
      </w:r>
    </w:p>
    <w:p w14:paraId="0D4EA3C6" w14:textId="77777777" w:rsidR="00260D97" w:rsidRPr="00730669" w:rsidRDefault="00260D97" w:rsidP="00260D97">
      <w:pPr>
        <w:pStyle w:val="GG-body"/>
        <w:ind w:left="426"/>
      </w:pPr>
      <w:r w:rsidRPr="00C74E98">
        <w:t>I have read and understood the Disclosure Guidelines for Applicants for Admission to the Legal Profession. I am and always have been of good fame and character and am a fit and proper person to be admitted and I have not done or suffered anything likely to reflect adversely on my good fame and character or on whether I am a fit and proper person. I am not aware of any matter or circumstance that might affect my suitability to be admitted as an Australian lawyer and an officer of the Court.</w:t>
      </w:r>
    </w:p>
    <w:p w14:paraId="1CED9B0E" w14:textId="77777777" w:rsidR="00260D97" w:rsidRDefault="00260D97" w:rsidP="00260D97">
      <w:pPr>
        <w:pStyle w:val="GG-body"/>
        <w:ind w:left="284" w:hanging="284"/>
        <w:rPr>
          <w:b/>
        </w:rPr>
      </w:pPr>
      <w:r w:rsidRPr="00C74E98">
        <w:rPr>
          <w:b/>
        </w:rPr>
        <w:t>5.</w:t>
      </w:r>
      <w:r>
        <w:rPr>
          <w:b/>
        </w:rPr>
        <w:tab/>
      </w:r>
      <w:r w:rsidRPr="00C74E98">
        <w:rPr>
          <w:b/>
        </w:rPr>
        <w:t>Some examples</w:t>
      </w:r>
    </w:p>
    <w:p w14:paraId="62621D6F" w14:textId="77777777" w:rsidR="00260D97" w:rsidRDefault="00260D97" w:rsidP="00260D97">
      <w:pPr>
        <w:pStyle w:val="GG-body"/>
        <w:ind w:left="284"/>
        <w:rPr>
          <w:b/>
        </w:rPr>
      </w:pPr>
      <w:r w:rsidRPr="00C74E98">
        <w:t xml:space="preserve">The following are examples of matters which you may need to disclose in addition to the matters set out in </w:t>
      </w:r>
      <w:r w:rsidRPr="00C74E98">
        <w:rPr>
          <w:b/>
        </w:rPr>
        <w:t>Appendix 1.</w:t>
      </w:r>
    </w:p>
    <w:p w14:paraId="691011C0" w14:textId="77777777" w:rsidR="00260D97" w:rsidRDefault="00260D97" w:rsidP="00260D97">
      <w:pPr>
        <w:pStyle w:val="GG-body"/>
        <w:ind w:left="851" w:hanging="425"/>
        <w:rPr>
          <w:b/>
        </w:rPr>
      </w:pPr>
      <w:r w:rsidRPr="00C74E98">
        <w:rPr>
          <w:bCs/>
        </w:rPr>
        <w:t>(a)</w:t>
      </w:r>
      <w:r w:rsidRPr="00200A3A">
        <w:rPr>
          <w:bCs/>
        </w:rPr>
        <w:tab/>
      </w:r>
      <w:r w:rsidRPr="00C74E98">
        <w:rPr>
          <w:b/>
        </w:rPr>
        <w:t>Social security overpayments or offences</w:t>
      </w:r>
    </w:p>
    <w:p w14:paraId="2885D834" w14:textId="77777777" w:rsidR="00260D97" w:rsidRDefault="00260D97" w:rsidP="00260D97">
      <w:pPr>
        <w:pStyle w:val="GG-body"/>
        <w:ind w:left="851"/>
      </w:pPr>
      <w:r w:rsidRPr="00C74E98">
        <w:t xml:space="preserve">You should disclose any overpayment to you of any kind of Centrelink or social security entitlements at any time, or for any reason, </w:t>
      </w:r>
      <w:proofErr w:type="gramStart"/>
      <w:r w:rsidRPr="00C74E98">
        <w:t>whether or not</w:t>
      </w:r>
      <w:proofErr w:type="gramEnd"/>
      <w:r w:rsidRPr="00C74E98">
        <w:t xml:space="preserve"> you have already repaid the relevant amount; or whether or not you have been prosecuted in relation to the overpayment.</w:t>
      </w:r>
    </w:p>
    <w:p w14:paraId="31C41A7C" w14:textId="77777777" w:rsidR="00260D97" w:rsidRDefault="00260D97" w:rsidP="00260D97">
      <w:pPr>
        <w:pStyle w:val="GG-body"/>
        <w:ind w:left="851" w:hanging="425"/>
        <w:rPr>
          <w:b/>
        </w:rPr>
      </w:pPr>
      <w:r w:rsidRPr="00C74E98">
        <w:rPr>
          <w:bCs/>
        </w:rPr>
        <w:t>(b)</w:t>
      </w:r>
      <w:r w:rsidRPr="00200A3A">
        <w:rPr>
          <w:bCs/>
        </w:rPr>
        <w:tab/>
      </w:r>
      <w:r w:rsidRPr="00C74E98">
        <w:rPr>
          <w:b/>
        </w:rPr>
        <w:t>Academic misconduct</w:t>
      </w:r>
    </w:p>
    <w:p w14:paraId="4B38C77C" w14:textId="77777777" w:rsidR="00260D97" w:rsidRDefault="00260D97" w:rsidP="00260D97">
      <w:pPr>
        <w:pStyle w:val="GG-body"/>
        <w:ind w:left="851"/>
      </w:pPr>
      <w:r w:rsidRPr="00C74E98">
        <w:t xml:space="preserve">You should disclose any academic misconduct. You would be wise to disclose such conduct, </w:t>
      </w:r>
      <w:proofErr w:type="gramStart"/>
      <w:r w:rsidRPr="00C74E98">
        <w:t>whether or not</w:t>
      </w:r>
      <w:proofErr w:type="gramEnd"/>
      <w:r w:rsidRPr="00C74E98">
        <w:t xml:space="preserve"> a formal finding was made or a record of the incident retained by the relevant organisation.</w:t>
      </w:r>
    </w:p>
    <w:p w14:paraId="5C49C1FA" w14:textId="77777777" w:rsidR="00260D97" w:rsidRDefault="00260D97" w:rsidP="00260D97">
      <w:pPr>
        <w:pStyle w:val="GG-body"/>
        <w:ind w:left="851"/>
      </w:pPr>
      <w:r w:rsidRPr="00C74E98">
        <w:t>Academic misconduct includes, but is not limited to, plagiarism, impermissible collusion, cheating and any other inappropriate conduct, whereby you have sought to obtain an academic advantage either for yourself or for some other person.</w:t>
      </w:r>
    </w:p>
    <w:p w14:paraId="14A37D2C" w14:textId="77777777" w:rsidR="00260D97" w:rsidRDefault="00260D97" w:rsidP="00260D97">
      <w:pPr>
        <w:pStyle w:val="GG-body"/>
        <w:ind w:left="851" w:hanging="425"/>
        <w:rPr>
          <w:b/>
        </w:rPr>
      </w:pPr>
      <w:r w:rsidRPr="00C74E98">
        <w:rPr>
          <w:bCs/>
        </w:rPr>
        <w:t>(c)</w:t>
      </w:r>
      <w:r w:rsidRPr="00200A3A">
        <w:rPr>
          <w:bCs/>
        </w:rPr>
        <w:tab/>
      </w:r>
      <w:r w:rsidRPr="00C74E98">
        <w:rPr>
          <w:b/>
        </w:rPr>
        <w:t>Inappropriate or criminal conduct</w:t>
      </w:r>
    </w:p>
    <w:p w14:paraId="5F05C34B" w14:textId="77777777" w:rsidR="00260D97" w:rsidRDefault="00260D97" w:rsidP="00260D97">
      <w:pPr>
        <w:pStyle w:val="GG-body"/>
        <w:ind w:left="851"/>
      </w:pPr>
      <w:r w:rsidRPr="00C74E98">
        <w:t>You may also need to disclose general misconduct which occurred, say, in your workplace, educational institution, volunteer position, club, association or in other circumstances, if such conduct may reflect on whether you are a fit and proper person to be admitted to the legal profession. This is so, even if the misconduct does not directly relate to your ability to practise law.</w:t>
      </w:r>
    </w:p>
    <w:p w14:paraId="7B220AEE" w14:textId="77777777" w:rsidR="00260D97" w:rsidRDefault="00260D97" w:rsidP="00260D97">
      <w:pPr>
        <w:pStyle w:val="GG-body"/>
        <w:ind w:left="851"/>
      </w:pPr>
      <w:r w:rsidRPr="00C74E98">
        <w:t>General misconduct may include, but is not limited to, offensive behaviour, workplace or online bullying, property damage, sexual harassment or racial vilification.</w:t>
      </w:r>
      <w:r w:rsidRPr="00C74E98">
        <w:rPr>
          <w:vertAlign w:val="superscript"/>
        </w:rPr>
        <w:footnoteReference w:id="15"/>
      </w:r>
    </w:p>
    <w:p w14:paraId="640A41DF" w14:textId="77777777" w:rsidR="00260D97" w:rsidRDefault="00260D97" w:rsidP="00260D97">
      <w:pPr>
        <w:pStyle w:val="GG-body"/>
        <w:ind w:left="851"/>
      </w:pPr>
      <w:r w:rsidRPr="00C74E98">
        <w:t xml:space="preserve">You also need to disclose any misconduct relating to dishonesty on your part, </w:t>
      </w:r>
      <w:proofErr w:type="gramStart"/>
      <w:r w:rsidRPr="00C74E98">
        <w:t>whether or not</w:t>
      </w:r>
      <w:proofErr w:type="gramEnd"/>
      <w:r w:rsidRPr="00C74E98">
        <w:t xml:space="preserve"> that conduct may have amounted to an offence; and whether or not you were charged with, or convicted of, an offence. This includes conduct that involved misappropriating any sort of property in any </w:t>
      </w:r>
      <w:proofErr w:type="gramStart"/>
      <w:r w:rsidRPr="00C74E98">
        <w:t>way, or</w:t>
      </w:r>
      <w:proofErr w:type="gramEnd"/>
      <w:r w:rsidRPr="00C74E98">
        <w:t xml:space="preserve"> making false or misleading statements of any kind.</w:t>
      </w:r>
    </w:p>
    <w:p w14:paraId="788DFA20" w14:textId="77777777" w:rsidR="00260D97" w:rsidRDefault="00260D97" w:rsidP="00260D97">
      <w:pPr>
        <w:pStyle w:val="GG-body"/>
        <w:ind w:left="851"/>
      </w:pPr>
      <w:r w:rsidRPr="00C74E98">
        <w:lastRenderedPageBreak/>
        <w:t>You should disclose any criminal conviction for any offence whatsoever.</w:t>
      </w:r>
    </w:p>
    <w:p w14:paraId="79C18FF6" w14:textId="77777777" w:rsidR="00260D97" w:rsidRDefault="00260D97" w:rsidP="00260D97">
      <w:pPr>
        <w:pStyle w:val="GG-body"/>
        <w:ind w:left="851"/>
      </w:pPr>
      <w:r w:rsidRPr="00C74E98">
        <w:t>You may also need to disclose any criminal charge, as distinct from a criminal conviction</w:t>
      </w:r>
      <w:r>
        <w:t>—</w:t>
      </w:r>
      <w:r w:rsidRPr="00C74E98">
        <w:t>even if the charge was subsequently withdrawn or you were acquitted. This will, however, depend on the circumstances. If the charge did not proceed for a technical reason, such as the expiration of a time limit, you should disclose it.</w:t>
      </w:r>
    </w:p>
    <w:p w14:paraId="11BCD7C4" w14:textId="77777777" w:rsidR="00260D97" w:rsidRDefault="00260D97" w:rsidP="00260D97">
      <w:pPr>
        <w:pStyle w:val="GG-body"/>
        <w:ind w:left="851"/>
      </w:pPr>
      <w:r w:rsidRPr="00C74E98">
        <w:t>On the other hand, if the charge was denied and the matter did not proceed because of an acknowledged lack of evidence, you need not disclose it, unless your underlying conduct itself warrants disclosure. You should carefully consider whether the facts giving rise to a criminal charge might reasonably be regarded as relevant when assessing your suitability for admission.</w:t>
      </w:r>
    </w:p>
    <w:p w14:paraId="14AE3660" w14:textId="77777777" w:rsidR="00260D97" w:rsidRDefault="00260D97" w:rsidP="00260D97">
      <w:pPr>
        <w:pStyle w:val="GG-body"/>
        <w:ind w:left="851"/>
      </w:pPr>
      <w:r w:rsidRPr="00C74E98">
        <w:t>You should also carefully consider whether it might be prudent to disclose an offence, even if spent convictions legislation applies to that offence. Where spent convictions legislation does not apply, you should declare any offence of which you have been convicted.</w:t>
      </w:r>
    </w:p>
    <w:p w14:paraId="7A68AEE1" w14:textId="77777777" w:rsidR="00260D97" w:rsidRDefault="00260D97" w:rsidP="00260D97">
      <w:pPr>
        <w:pStyle w:val="GG-body"/>
        <w:ind w:left="851"/>
      </w:pPr>
      <w:r w:rsidRPr="00C74E98">
        <w:t>At the other end of the scale, if you had dealings with police as a juvenile, such as being warned for drinking alcohol, it is likely that your Admitting Authority would regard the matter as minor and you would not need to disclose it.</w:t>
      </w:r>
    </w:p>
    <w:p w14:paraId="1D09DBCF" w14:textId="77777777" w:rsidR="00260D97" w:rsidRDefault="00260D97" w:rsidP="00260D97">
      <w:pPr>
        <w:pStyle w:val="GG-body"/>
        <w:ind w:left="851" w:hanging="425"/>
        <w:rPr>
          <w:b/>
        </w:rPr>
      </w:pPr>
      <w:r w:rsidRPr="00C74E98">
        <w:rPr>
          <w:bCs/>
        </w:rPr>
        <w:t>(d)</w:t>
      </w:r>
      <w:r w:rsidRPr="00200A3A">
        <w:rPr>
          <w:bCs/>
        </w:rPr>
        <w:tab/>
      </w:r>
      <w:r w:rsidRPr="00C74E98">
        <w:rPr>
          <w:b/>
        </w:rPr>
        <w:t>Intervention orders and apprehended violence orders</w:t>
      </w:r>
    </w:p>
    <w:p w14:paraId="1E426799" w14:textId="77777777" w:rsidR="00260D97" w:rsidRDefault="00260D97" w:rsidP="00260D97">
      <w:pPr>
        <w:pStyle w:val="GG-body"/>
        <w:ind w:left="851"/>
      </w:pPr>
      <w:r w:rsidRPr="00C74E98">
        <w:t>You should declare if you are or were the respondent to a current or expired intervention order or apprehended violence order, including where an order has been applied for but not determined.</w:t>
      </w:r>
    </w:p>
    <w:p w14:paraId="748D126C" w14:textId="77777777" w:rsidR="00260D97" w:rsidRDefault="00260D97" w:rsidP="00260D97">
      <w:pPr>
        <w:pStyle w:val="GG-body"/>
        <w:ind w:left="851"/>
      </w:pPr>
      <w:r w:rsidRPr="00C74E98">
        <w:t>If relevant you may include copies of any order or application.</w:t>
      </w:r>
    </w:p>
    <w:p w14:paraId="6308C220" w14:textId="77777777" w:rsidR="00260D97" w:rsidRDefault="00260D97" w:rsidP="00260D97">
      <w:pPr>
        <w:pStyle w:val="GG-body"/>
        <w:ind w:left="851" w:hanging="425"/>
        <w:rPr>
          <w:b/>
        </w:rPr>
      </w:pPr>
      <w:r w:rsidRPr="00C74E98">
        <w:rPr>
          <w:bCs/>
        </w:rPr>
        <w:t>(e)</w:t>
      </w:r>
      <w:r w:rsidRPr="00200A3A">
        <w:rPr>
          <w:bCs/>
        </w:rPr>
        <w:tab/>
      </w:r>
      <w:r w:rsidRPr="00C74E98">
        <w:rPr>
          <w:b/>
        </w:rPr>
        <w:t>Infringement or traffic offences</w:t>
      </w:r>
    </w:p>
    <w:p w14:paraId="620C406E" w14:textId="77777777" w:rsidR="00260D97" w:rsidRDefault="00260D97" w:rsidP="00260D97">
      <w:pPr>
        <w:pStyle w:val="GG-body"/>
        <w:ind w:left="851"/>
      </w:pPr>
      <w:r w:rsidRPr="00C74E98">
        <w:t>You may need to declare offences resulting in a court-ordered fine or other sanction or even an administrative penalty, such as traffic or public transport offences. This is certainly necessary if the frequency or number of fines, or your failure to pay fines, could give rise to concern about your respect for the law.</w:t>
      </w:r>
    </w:p>
    <w:p w14:paraId="0B10B101" w14:textId="77777777" w:rsidR="00260D97" w:rsidRDefault="00260D97" w:rsidP="00260D97">
      <w:pPr>
        <w:pStyle w:val="GG-body"/>
        <w:ind w:left="851" w:hanging="425"/>
        <w:rPr>
          <w:b/>
        </w:rPr>
      </w:pPr>
      <w:r w:rsidRPr="00C74E98">
        <w:rPr>
          <w:bCs/>
        </w:rPr>
        <w:t>(f)</w:t>
      </w:r>
      <w:r w:rsidRPr="00200A3A">
        <w:rPr>
          <w:bCs/>
        </w:rPr>
        <w:tab/>
      </w:r>
      <w:r w:rsidRPr="00C74E98">
        <w:rPr>
          <w:b/>
        </w:rPr>
        <w:t>Making a false statutory declaration</w:t>
      </w:r>
    </w:p>
    <w:p w14:paraId="1A631C34" w14:textId="77777777" w:rsidR="00260D97" w:rsidRDefault="00260D97" w:rsidP="00260D97">
      <w:pPr>
        <w:pStyle w:val="GG-body"/>
        <w:ind w:left="851" w:hanging="425"/>
        <w:rPr>
          <w:b/>
        </w:rPr>
      </w:pPr>
      <w:r w:rsidRPr="00C74E98">
        <w:rPr>
          <w:bCs/>
        </w:rPr>
        <w:t>(g)</w:t>
      </w:r>
      <w:r w:rsidRPr="00200A3A">
        <w:rPr>
          <w:bCs/>
        </w:rPr>
        <w:tab/>
      </w:r>
      <w:r w:rsidRPr="00C74E98">
        <w:rPr>
          <w:b/>
        </w:rPr>
        <w:t>Tax offences</w:t>
      </w:r>
    </w:p>
    <w:p w14:paraId="673DAA24" w14:textId="77777777" w:rsidR="00260D97" w:rsidRDefault="00260D97" w:rsidP="00260D97">
      <w:pPr>
        <w:pStyle w:val="GG-body"/>
        <w:ind w:left="851" w:hanging="425"/>
        <w:rPr>
          <w:b/>
        </w:rPr>
      </w:pPr>
      <w:r w:rsidRPr="00C74E98">
        <w:rPr>
          <w:bCs/>
        </w:rPr>
        <w:t>(h)</w:t>
      </w:r>
      <w:r w:rsidRPr="00200A3A">
        <w:rPr>
          <w:bCs/>
        </w:rPr>
        <w:tab/>
      </w:r>
      <w:r w:rsidRPr="00C74E98">
        <w:rPr>
          <w:b/>
        </w:rPr>
        <w:t>Corporate insolvency, penalties or offences</w:t>
      </w:r>
    </w:p>
    <w:p w14:paraId="43B50A35" w14:textId="77777777" w:rsidR="00260D97" w:rsidRDefault="00260D97" w:rsidP="00260D97">
      <w:pPr>
        <w:pStyle w:val="GG-body"/>
        <w:ind w:left="851"/>
      </w:pPr>
      <w:r w:rsidRPr="00C74E98">
        <w:t>You may need to disclose any instances of insolvency, offences or penalties relating to any company or organisation of which you were a director or responsible officer at the time.</w:t>
      </w:r>
    </w:p>
    <w:p w14:paraId="13557902" w14:textId="77777777" w:rsidR="00260D97" w:rsidRDefault="00260D97" w:rsidP="00260D97">
      <w:pPr>
        <w:pStyle w:val="GG-body"/>
        <w:ind w:left="851" w:hanging="425"/>
        <w:rPr>
          <w:b/>
        </w:rPr>
      </w:pPr>
      <w:r w:rsidRPr="00C74E98">
        <w:rPr>
          <w:bCs/>
        </w:rPr>
        <w:t>(</w:t>
      </w:r>
      <w:proofErr w:type="spellStart"/>
      <w:r w:rsidRPr="00C74E98">
        <w:rPr>
          <w:bCs/>
        </w:rPr>
        <w:t>i</w:t>
      </w:r>
      <w:proofErr w:type="spellEnd"/>
      <w:r w:rsidRPr="00C74E98">
        <w:rPr>
          <w:bCs/>
        </w:rPr>
        <w:t>)</w:t>
      </w:r>
      <w:r w:rsidRPr="00200A3A">
        <w:rPr>
          <w:bCs/>
        </w:rPr>
        <w:tab/>
      </w:r>
      <w:r w:rsidRPr="00C74E98">
        <w:rPr>
          <w:b/>
        </w:rPr>
        <w:t>Involvement in civil litigation or proceedings</w:t>
      </w:r>
    </w:p>
    <w:p w14:paraId="51100ED4" w14:textId="77777777" w:rsidR="00260D97" w:rsidRDefault="00260D97" w:rsidP="00260D97">
      <w:pPr>
        <w:pStyle w:val="GG-body"/>
        <w:ind w:left="851"/>
      </w:pPr>
      <w:r w:rsidRPr="00C74E98">
        <w:t>You must disclose any involvement with civil litigation or proceedings in other administrative bodies which may reflect on whether you are a fit and proper person to be admitted to the legal profession. This includes courts, tribunals, commissions, regulatory bodies or other quasi-judicial processes.</w:t>
      </w:r>
    </w:p>
    <w:p w14:paraId="7015B155" w14:textId="77777777" w:rsidR="00260D97" w:rsidRDefault="00260D97" w:rsidP="00260D97">
      <w:pPr>
        <w:pStyle w:val="GG-body"/>
        <w:ind w:left="851"/>
      </w:pPr>
      <w:r w:rsidRPr="00C74E98">
        <w:t>You must disclose any allegations or findings in such civil litigation or proceedings that you have contravened statutory or other civil obligations.</w:t>
      </w:r>
    </w:p>
    <w:p w14:paraId="0B40ED50" w14:textId="77777777" w:rsidR="00260D97" w:rsidRDefault="00260D97" w:rsidP="00260D97">
      <w:pPr>
        <w:pStyle w:val="GG-body"/>
        <w:ind w:left="851"/>
      </w:pPr>
      <w:r w:rsidRPr="00C74E98">
        <w:t>You must disclose circumstances in which you have been involved in an unusual volume of litigation.</w:t>
      </w:r>
    </w:p>
    <w:p w14:paraId="54DCCB09" w14:textId="77777777" w:rsidR="00260D97" w:rsidRDefault="00260D97" w:rsidP="00260D97">
      <w:pPr>
        <w:pStyle w:val="GG-body"/>
        <w:ind w:left="851"/>
      </w:pPr>
      <w:r w:rsidRPr="00C74E98">
        <w:t xml:space="preserve">You must specifically disclose any adverse findings or comments by a court or other body about the </w:t>
      </w:r>
      <w:proofErr w:type="gramStart"/>
      <w:r w:rsidRPr="00C74E98">
        <w:t>manner in which</w:t>
      </w:r>
      <w:proofErr w:type="gramEnd"/>
      <w:r w:rsidRPr="00C74E98">
        <w:t xml:space="preserve"> you have conducted yourself or given evidence as a litigant, witness or other participant in a legal process. It is not enough simply to disclose the fact that you were involved in the proceeding, you should identify the </w:t>
      </w:r>
      <w:proofErr w:type="gramStart"/>
      <w:r w:rsidRPr="00C74E98">
        <w:t>particular inappropriate</w:t>
      </w:r>
      <w:proofErr w:type="gramEnd"/>
      <w:r w:rsidRPr="00C74E98">
        <w:t xml:space="preserve"> conduct, findings or comments.</w:t>
      </w:r>
    </w:p>
    <w:p w14:paraId="35660238" w14:textId="77777777" w:rsidR="00260D97" w:rsidRDefault="00260D97" w:rsidP="00260D97">
      <w:pPr>
        <w:pStyle w:val="GG-body"/>
        <w:ind w:left="851"/>
      </w:pPr>
      <w:r w:rsidRPr="00C74E98">
        <w:t>You must disclose any orders against you which you have not complied with, including outstanding costs orders and explain why you have not complied with them.</w:t>
      </w:r>
    </w:p>
    <w:p w14:paraId="256FF20A" w14:textId="77777777" w:rsidR="00260D97" w:rsidRDefault="00260D97" w:rsidP="00260D97">
      <w:pPr>
        <w:pStyle w:val="GG-body"/>
        <w:ind w:left="284" w:hanging="284"/>
        <w:rPr>
          <w:b/>
        </w:rPr>
      </w:pPr>
      <w:r w:rsidRPr="00C74E98">
        <w:rPr>
          <w:b/>
        </w:rPr>
        <w:t>6.</w:t>
      </w:r>
      <w:r>
        <w:rPr>
          <w:b/>
        </w:rPr>
        <w:tab/>
      </w:r>
      <w:r w:rsidRPr="00C74E98">
        <w:rPr>
          <w:b/>
        </w:rPr>
        <w:t>Dos and Don</w:t>
      </w:r>
      <w:r>
        <w:rPr>
          <w:b/>
        </w:rPr>
        <w:t>’</w:t>
      </w:r>
      <w:r w:rsidRPr="00C74E98">
        <w:rPr>
          <w:b/>
        </w:rPr>
        <w:t>ts</w:t>
      </w:r>
    </w:p>
    <w:p w14:paraId="52A53F5A" w14:textId="77777777" w:rsidR="00260D97" w:rsidRDefault="00260D97" w:rsidP="00260D97">
      <w:pPr>
        <w:pStyle w:val="GG-body"/>
        <w:ind w:left="284"/>
      </w:pPr>
      <w:proofErr w:type="gramStart"/>
      <w:r w:rsidRPr="00C74E98">
        <w:t>A number of</w:t>
      </w:r>
      <w:proofErr w:type="gramEnd"/>
      <w:r w:rsidRPr="00C74E98">
        <w:t xml:space="preserve"> recent cases consider the over-arching obligation to be candid and honest when making a full and frank disclosure of something you choose to disclose. The following dos and don</w:t>
      </w:r>
      <w:r>
        <w:t>’</w:t>
      </w:r>
      <w:r w:rsidRPr="00C74E98">
        <w:t>ts emerge from those cases.</w:t>
      </w:r>
    </w:p>
    <w:p w14:paraId="287C31BE" w14:textId="77777777" w:rsidR="00260D97" w:rsidRDefault="00260D97" w:rsidP="00260D97">
      <w:pPr>
        <w:pStyle w:val="GG-body"/>
        <w:ind w:left="851" w:hanging="425"/>
      </w:pPr>
      <w:r w:rsidRPr="001B1F25">
        <w:rPr>
          <w:rFonts w:eastAsia="Arial"/>
          <w:color w:val="000000"/>
          <w:u w:color="000000"/>
        </w:rPr>
        <w:t>(a)</w:t>
      </w:r>
      <w:r w:rsidRPr="001B1F25">
        <w:rPr>
          <w:rFonts w:eastAsia="Arial"/>
          <w:color w:val="000000"/>
          <w:u w:color="000000"/>
        </w:rPr>
        <w:tab/>
      </w:r>
      <w:r w:rsidRPr="00C74E98">
        <w:t>You need to make sure that what you tell the Admitting Authority is completely accurate.</w:t>
      </w:r>
    </w:p>
    <w:p w14:paraId="3F8D1BE4" w14:textId="77777777" w:rsidR="00260D97" w:rsidRDefault="00260D97" w:rsidP="00260D97">
      <w:pPr>
        <w:pStyle w:val="GG-body"/>
        <w:ind w:left="851" w:hanging="425"/>
      </w:pPr>
      <w:r w:rsidRPr="001B1F25">
        <w:rPr>
          <w:rFonts w:eastAsia="Arial"/>
          <w:color w:val="000000"/>
          <w:u w:color="000000"/>
        </w:rPr>
        <w:t>(b)</w:t>
      </w:r>
      <w:r w:rsidRPr="001B1F25">
        <w:rPr>
          <w:rFonts w:eastAsia="Arial"/>
          <w:color w:val="000000"/>
          <w:u w:color="000000"/>
        </w:rPr>
        <w:tab/>
      </w:r>
      <w:r w:rsidRPr="00C74E98">
        <w:t>Check the relevant facts to ensure that your statement cannot be misleading. If necessary, check those facts with third parties who know about them.</w:t>
      </w:r>
    </w:p>
    <w:p w14:paraId="2373D9D0" w14:textId="77777777" w:rsidR="00260D97" w:rsidRDefault="00260D97" w:rsidP="00260D97">
      <w:pPr>
        <w:pStyle w:val="GG-body"/>
        <w:ind w:left="851" w:hanging="425"/>
      </w:pPr>
      <w:r w:rsidRPr="001B1F25">
        <w:rPr>
          <w:rFonts w:eastAsia="Arial"/>
          <w:color w:val="000000"/>
          <w:u w:color="000000"/>
        </w:rPr>
        <w:t>(c)</w:t>
      </w:r>
      <w:r w:rsidRPr="001B1F25">
        <w:rPr>
          <w:rFonts w:eastAsia="Arial"/>
          <w:color w:val="000000"/>
          <w:u w:color="000000"/>
        </w:rPr>
        <w:tab/>
      </w:r>
      <w:r w:rsidRPr="00C74E98">
        <w:t>Even if the matter you are disclosing seems to you to be relatively minor, you must provide full and frank details to the Admitting Authority. You need to include all matters that could be relevant to your Admitting Authority</w:t>
      </w:r>
      <w:r>
        <w:t>’</w:t>
      </w:r>
      <w:r w:rsidRPr="00C74E98">
        <w:t>s assessment.</w:t>
      </w:r>
    </w:p>
    <w:p w14:paraId="2E77CE31" w14:textId="77777777" w:rsidR="00260D97" w:rsidRDefault="00260D97" w:rsidP="00260D97">
      <w:pPr>
        <w:pStyle w:val="GG-body"/>
        <w:ind w:left="851" w:hanging="425"/>
      </w:pPr>
      <w:r w:rsidRPr="001B1F25">
        <w:rPr>
          <w:rFonts w:eastAsia="Arial"/>
          <w:color w:val="000000"/>
          <w:u w:color="000000"/>
        </w:rPr>
        <w:t>(d)</w:t>
      </w:r>
      <w:r w:rsidRPr="001B1F25">
        <w:rPr>
          <w:rFonts w:eastAsia="Arial"/>
          <w:color w:val="000000"/>
          <w:u w:color="000000"/>
        </w:rPr>
        <w:tab/>
      </w:r>
      <w:r w:rsidRPr="00C74E98">
        <w:t>You must do this when you first make your disclosure. Don</w:t>
      </w:r>
      <w:r>
        <w:t>’</w:t>
      </w:r>
      <w:r w:rsidRPr="00C74E98">
        <w:t>t wait for the Admitting Authority to ask you for further information.</w:t>
      </w:r>
    </w:p>
    <w:p w14:paraId="452DE82C" w14:textId="77777777" w:rsidR="00260D97" w:rsidRDefault="00260D97" w:rsidP="00260D97">
      <w:pPr>
        <w:pStyle w:val="GG-body"/>
        <w:ind w:left="851" w:hanging="425"/>
      </w:pPr>
      <w:r w:rsidRPr="001B1F25">
        <w:rPr>
          <w:rFonts w:eastAsia="Arial"/>
          <w:color w:val="000000"/>
          <w:u w:color="000000"/>
        </w:rPr>
        <w:t>(e)</w:t>
      </w:r>
      <w:r w:rsidRPr="001B1F25">
        <w:rPr>
          <w:rFonts w:eastAsia="Arial"/>
          <w:color w:val="000000"/>
          <w:u w:color="000000"/>
        </w:rPr>
        <w:tab/>
      </w:r>
      <w:r w:rsidRPr="00C74E98">
        <w:t>Failing to make a full and frank disclosure first up may show that you do not fully understand the honesty and candour that a legal practitioner must demonstrate</w:t>
      </w:r>
      <w:r>
        <w:t>—</w:t>
      </w:r>
      <w:r w:rsidRPr="00C74E98">
        <w:t>even if you didn</w:t>
      </w:r>
      <w:r>
        <w:t>’</w:t>
      </w:r>
      <w:r w:rsidRPr="00C74E98">
        <w:t>t intend to mislead or conceal information.</w:t>
      </w:r>
    </w:p>
    <w:p w14:paraId="0D30A692" w14:textId="77777777" w:rsidR="00260D97" w:rsidRDefault="00260D97" w:rsidP="00260D97">
      <w:pPr>
        <w:pStyle w:val="GG-body"/>
        <w:ind w:left="851" w:hanging="425"/>
      </w:pPr>
      <w:r w:rsidRPr="001B1F25">
        <w:rPr>
          <w:rFonts w:eastAsia="Arial"/>
          <w:color w:val="000000"/>
          <w:u w:color="000000"/>
        </w:rPr>
        <w:t>(f)</w:t>
      </w:r>
      <w:r w:rsidRPr="001B1F25">
        <w:rPr>
          <w:rFonts w:eastAsia="Arial"/>
          <w:color w:val="000000"/>
          <w:u w:color="000000"/>
        </w:rPr>
        <w:tab/>
      </w:r>
      <w:r w:rsidRPr="00C74E98">
        <w:t>This failure, alone, may show that you are not yet a fit and proper person to be admitted.</w:t>
      </w:r>
    </w:p>
    <w:p w14:paraId="1E72E690" w14:textId="77777777" w:rsidR="00260D97" w:rsidRDefault="00260D97" w:rsidP="00260D97">
      <w:pPr>
        <w:pStyle w:val="GG-body"/>
        <w:ind w:left="851" w:hanging="425"/>
      </w:pPr>
      <w:r w:rsidRPr="001B1F25">
        <w:rPr>
          <w:rFonts w:eastAsia="Arial"/>
          <w:color w:val="000000"/>
          <w:u w:color="000000"/>
        </w:rPr>
        <w:t>(g)</w:t>
      </w:r>
      <w:r w:rsidRPr="001B1F25">
        <w:rPr>
          <w:rFonts w:eastAsia="Arial"/>
          <w:color w:val="000000"/>
          <w:u w:color="000000"/>
        </w:rPr>
        <w:tab/>
      </w:r>
      <w:r w:rsidRPr="00C74E98">
        <w:t>If you deliberately or recklessly misrepresent or conceal facts relevant to your disclosure, you may not be admitted.</w:t>
      </w:r>
    </w:p>
    <w:p w14:paraId="3903ECA4" w14:textId="77777777" w:rsidR="00260D97" w:rsidRDefault="00260D97" w:rsidP="00260D97">
      <w:pPr>
        <w:pStyle w:val="GG-body"/>
        <w:ind w:left="851" w:hanging="425"/>
      </w:pPr>
      <w:r w:rsidRPr="001B1F25">
        <w:rPr>
          <w:rFonts w:eastAsia="Arial"/>
          <w:color w:val="000000"/>
          <w:u w:color="000000"/>
        </w:rPr>
        <w:t>(h)</w:t>
      </w:r>
      <w:r w:rsidRPr="001B1F25">
        <w:rPr>
          <w:rFonts w:eastAsia="Arial"/>
          <w:color w:val="000000"/>
          <w:u w:color="000000"/>
        </w:rPr>
        <w:tab/>
      </w:r>
      <w:r w:rsidRPr="00C74E98">
        <w:t>If you are admitted after deliberately or recklessly concealing facts relevant to your disclosure, your admission may well be revoked once your deception is uncovered.</w:t>
      </w:r>
    </w:p>
    <w:p w14:paraId="669A309C" w14:textId="77777777" w:rsidR="00260D97" w:rsidRDefault="00260D97" w:rsidP="00260D97">
      <w:pPr>
        <w:pStyle w:val="GG-body"/>
        <w:ind w:left="851" w:hanging="425"/>
      </w:pPr>
      <w:r w:rsidRPr="001B1F25">
        <w:rPr>
          <w:rFonts w:eastAsia="Arial"/>
          <w:color w:val="000000"/>
          <w:u w:color="000000"/>
        </w:rPr>
        <w:t>(</w:t>
      </w:r>
      <w:proofErr w:type="spellStart"/>
      <w:r w:rsidRPr="001B1F25">
        <w:rPr>
          <w:rFonts w:eastAsia="Arial"/>
          <w:color w:val="000000"/>
          <w:u w:color="000000"/>
        </w:rPr>
        <w:t>i</w:t>
      </w:r>
      <w:proofErr w:type="spellEnd"/>
      <w:r w:rsidRPr="001B1F25">
        <w:rPr>
          <w:rFonts w:eastAsia="Arial"/>
          <w:color w:val="000000"/>
          <w:u w:color="000000"/>
        </w:rPr>
        <w:t>)</w:t>
      </w:r>
      <w:r w:rsidRPr="001B1F25">
        <w:rPr>
          <w:rFonts w:eastAsia="Arial"/>
          <w:color w:val="000000"/>
          <w:u w:color="000000"/>
        </w:rPr>
        <w:tab/>
      </w:r>
      <w:r w:rsidRPr="00C74E98">
        <w:t>Make sure that you give the Admitting Authority as much information about the circumstances of the event you are disclosing as will allow it to assess the gravity of the event for itself.</w:t>
      </w:r>
    </w:p>
    <w:p w14:paraId="4447B321" w14:textId="77777777" w:rsidR="00260D97" w:rsidRDefault="00260D97" w:rsidP="00260D97">
      <w:pPr>
        <w:pStyle w:val="GG-body"/>
        <w:ind w:left="851" w:hanging="425"/>
      </w:pPr>
      <w:r w:rsidRPr="001B1F25">
        <w:rPr>
          <w:rFonts w:eastAsia="Arial"/>
          <w:color w:val="000000"/>
          <w:u w:color="000000"/>
        </w:rPr>
        <w:t>(j)</w:t>
      </w:r>
      <w:r w:rsidRPr="001B1F25">
        <w:rPr>
          <w:rFonts w:eastAsia="Arial"/>
          <w:color w:val="000000"/>
          <w:u w:color="000000"/>
        </w:rPr>
        <w:tab/>
      </w:r>
      <w:r w:rsidRPr="00C74E98">
        <w:t>Give a full picture of the events and a thorough explanation of your conduct.</w:t>
      </w:r>
    </w:p>
    <w:p w14:paraId="0DAFC665" w14:textId="77777777" w:rsidR="00260D97" w:rsidRDefault="00260D97" w:rsidP="00260D97">
      <w:pPr>
        <w:pStyle w:val="GG-body"/>
        <w:ind w:left="851" w:hanging="425"/>
      </w:pPr>
      <w:r w:rsidRPr="001B1F25">
        <w:rPr>
          <w:rFonts w:eastAsia="Arial"/>
          <w:color w:val="000000"/>
          <w:u w:color="000000"/>
        </w:rPr>
        <w:t>(k)</w:t>
      </w:r>
      <w:r w:rsidRPr="001B1F25">
        <w:rPr>
          <w:rFonts w:eastAsia="Arial"/>
          <w:color w:val="000000"/>
          <w:u w:color="000000"/>
        </w:rPr>
        <w:tab/>
      </w:r>
      <w:r w:rsidRPr="00C74E98">
        <w:t>Views can differ about what level of detail is sufficient to demonstrate honesty, candour and full and frank disclosure. The Admitting Authority</w:t>
      </w:r>
      <w:r>
        <w:t>’</w:t>
      </w:r>
      <w:r w:rsidRPr="00C74E98">
        <w:t>s view may be different from yours. If in doubt, it may be wise to give more, rather than less, information.</w:t>
      </w:r>
    </w:p>
    <w:p w14:paraId="2B5AB628" w14:textId="77777777" w:rsidR="00260D97" w:rsidRPr="006919FD" w:rsidRDefault="00260D97" w:rsidP="00260D97">
      <w:pPr>
        <w:pStyle w:val="GG-body"/>
        <w:ind w:left="851" w:hanging="425"/>
        <w:rPr>
          <w:spacing w:val="-2"/>
        </w:rPr>
      </w:pPr>
      <w:r w:rsidRPr="001B1F25">
        <w:rPr>
          <w:rFonts w:eastAsia="Arial"/>
          <w:color w:val="000000"/>
          <w:u w:color="000000"/>
        </w:rPr>
        <w:t>(l)</w:t>
      </w:r>
      <w:r w:rsidRPr="001B1F25">
        <w:rPr>
          <w:rFonts w:eastAsia="Arial"/>
          <w:color w:val="000000"/>
          <w:u w:color="000000"/>
        </w:rPr>
        <w:tab/>
      </w:r>
      <w:r w:rsidRPr="006919FD">
        <w:rPr>
          <w:spacing w:val="-2"/>
        </w:rPr>
        <w:t>Don’t seek to minimise your culpability; to deflect blame onto others; or to conceal information that may be unfavourable to you.</w:t>
      </w:r>
    </w:p>
    <w:p w14:paraId="520AEF7A" w14:textId="77777777" w:rsidR="00260D97" w:rsidRPr="006919FD" w:rsidRDefault="00260D97" w:rsidP="00260D97">
      <w:pPr>
        <w:pStyle w:val="GG-body"/>
        <w:ind w:left="851" w:hanging="425"/>
      </w:pPr>
      <w:r w:rsidRPr="001B1F25">
        <w:rPr>
          <w:rFonts w:eastAsia="Arial"/>
          <w:color w:val="000000"/>
          <w:u w:color="000000"/>
        </w:rPr>
        <w:t>(m)</w:t>
      </w:r>
      <w:r w:rsidRPr="001B1F25">
        <w:rPr>
          <w:rFonts w:eastAsia="Arial"/>
          <w:color w:val="000000"/>
          <w:u w:color="000000"/>
        </w:rPr>
        <w:tab/>
      </w:r>
      <w:r w:rsidRPr="00C74E98">
        <w:t>Try to show the Admitting Authority that you have insight into why and how the event occurred; that you take full responsibility for it; and why the Admitting Authority can be satisfied that you will not do similar things in the future.</w:t>
      </w:r>
      <w:r>
        <w:rPr>
          <w:rFonts w:eastAsia="Arial"/>
          <w:color w:val="000000"/>
          <w:u w:color="000000"/>
        </w:rPr>
        <w:br w:type="page"/>
      </w:r>
    </w:p>
    <w:p w14:paraId="0891F816" w14:textId="77777777" w:rsidR="00260D97" w:rsidRDefault="00260D97" w:rsidP="00260D97">
      <w:pPr>
        <w:pStyle w:val="GG-body"/>
        <w:ind w:left="851" w:hanging="425"/>
      </w:pPr>
      <w:r w:rsidRPr="001B1F25">
        <w:rPr>
          <w:rFonts w:eastAsia="Arial"/>
          <w:color w:val="000000"/>
          <w:u w:color="000000"/>
        </w:rPr>
        <w:lastRenderedPageBreak/>
        <w:t>(n)</w:t>
      </w:r>
      <w:r w:rsidRPr="001B1F25">
        <w:rPr>
          <w:rFonts w:eastAsia="Arial"/>
          <w:color w:val="000000"/>
          <w:u w:color="000000"/>
        </w:rPr>
        <w:tab/>
      </w:r>
      <w:r w:rsidRPr="00C74E98">
        <w:t>It is not enough simply to express remorse. Because your fitness to practise is assessed at the time you make your application, you need to show the Admitting Authority that what you have done to redeem yourself, or to rehabilitate yourself since the event occurred. It is not enough to show that you understand that your past conduct was wrong. You need to demonstrate to the Admitting Authority that you understand why it was wrong and what you should have done differently or would do differently in the future.</w:t>
      </w:r>
    </w:p>
    <w:p w14:paraId="62E71285" w14:textId="77777777" w:rsidR="00260D97" w:rsidRDefault="00260D97" w:rsidP="00260D97">
      <w:pPr>
        <w:pStyle w:val="GG-body"/>
        <w:ind w:left="851" w:hanging="425"/>
      </w:pPr>
      <w:r w:rsidRPr="001B1F25">
        <w:rPr>
          <w:rFonts w:eastAsia="Arial"/>
          <w:color w:val="000000"/>
          <w:u w:color="000000"/>
        </w:rPr>
        <w:t>(o)</w:t>
      </w:r>
      <w:r w:rsidRPr="001B1F25">
        <w:rPr>
          <w:rFonts w:eastAsia="Arial"/>
          <w:color w:val="000000"/>
          <w:u w:color="000000"/>
        </w:rPr>
        <w:tab/>
      </w:r>
      <w:r w:rsidRPr="00C74E98">
        <w:t>You may need to produce independent evidence from others to show that you are now a fit and proper person. Your own assertions may not be enough.</w:t>
      </w:r>
    </w:p>
    <w:p w14:paraId="55BE70CD" w14:textId="77777777" w:rsidR="00260D97" w:rsidRDefault="00260D97" w:rsidP="00260D97">
      <w:pPr>
        <w:pStyle w:val="GG-body"/>
        <w:ind w:left="851" w:hanging="425"/>
      </w:pPr>
      <w:r w:rsidRPr="001B1F25">
        <w:rPr>
          <w:rFonts w:eastAsia="Arial"/>
          <w:color w:val="000000"/>
          <w:u w:color="000000"/>
        </w:rPr>
        <w:t>(p)</w:t>
      </w:r>
      <w:r w:rsidRPr="001B1F25">
        <w:rPr>
          <w:rFonts w:eastAsia="Arial"/>
          <w:color w:val="000000"/>
          <w:u w:color="000000"/>
        </w:rPr>
        <w:tab/>
      </w:r>
      <w:r w:rsidRPr="00C74E98">
        <w:t>If you can show the Admitting Authority the active steps you have taken to rehabilitate yourself, this may demonstrate that you have appreciated the gravity of your conduct; have accepted responsibility for it; have taken steps to rehabilitate yourself; and understand the obligation of honesty, candour and full and frank disclosure.</w:t>
      </w:r>
    </w:p>
    <w:p w14:paraId="05FA4550" w14:textId="77777777" w:rsidR="00260D97" w:rsidRDefault="00260D97" w:rsidP="00260D97">
      <w:pPr>
        <w:pStyle w:val="GG-body"/>
        <w:ind w:left="851" w:hanging="425"/>
      </w:pPr>
      <w:r w:rsidRPr="001B1F25">
        <w:rPr>
          <w:rFonts w:eastAsia="Arial"/>
          <w:color w:val="000000"/>
          <w:u w:color="000000"/>
        </w:rPr>
        <w:t>(q)</w:t>
      </w:r>
      <w:r w:rsidRPr="001B1F25">
        <w:rPr>
          <w:rFonts w:eastAsia="Arial"/>
          <w:color w:val="000000"/>
          <w:u w:color="000000"/>
        </w:rPr>
        <w:tab/>
      </w:r>
      <w:r w:rsidRPr="00C74E98">
        <w:t>If, however, your past conduct was very serious or involved extreme dishonesty, it may be hard to convince an Admitting Authority that you are a fit and proper person to be admitted.</w:t>
      </w:r>
    </w:p>
    <w:p w14:paraId="6D41C38F" w14:textId="77777777" w:rsidR="00260D97" w:rsidRDefault="00260D97" w:rsidP="00260D97">
      <w:pPr>
        <w:pStyle w:val="GG-body"/>
        <w:ind w:left="284" w:hanging="284"/>
        <w:rPr>
          <w:b/>
        </w:rPr>
      </w:pPr>
      <w:r w:rsidRPr="00C74E98">
        <w:rPr>
          <w:b/>
        </w:rPr>
        <w:t>7.</w:t>
      </w:r>
      <w:r>
        <w:rPr>
          <w:b/>
        </w:rPr>
        <w:tab/>
      </w:r>
      <w:r w:rsidRPr="00C74E98">
        <w:rPr>
          <w:b/>
        </w:rPr>
        <w:t>Certificate of character</w:t>
      </w:r>
    </w:p>
    <w:p w14:paraId="0EF83951" w14:textId="77777777" w:rsidR="00260D97" w:rsidRDefault="00260D97" w:rsidP="00260D97">
      <w:pPr>
        <w:pStyle w:val="GG-body"/>
        <w:ind w:left="284"/>
      </w:pPr>
      <w:r w:rsidRPr="00C74E98">
        <w:t>Please also note that any person who supplies a certificate of character to support an application:</w:t>
      </w:r>
    </w:p>
    <w:p w14:paraId="63BB8F59" w14:textId="77777777" w:rsidR="00260D97" w:rsidRDefault="00260D97" w:rsidP="00260D97">
      <w:pPr>
        <w:pStyle w:val="GG-body"/>
        <w:ind w:left="851" w:hanging="425"/>
      </w:pPr>
      <w:r w:rsidRPr="001B1F25">
        <w:rPr>
          <w:rFonts w:eastAsia="Arial"/>
          <w:color w:val="000000"/>
          <w:u w:color="000000"/>
        </w:rPr>
        <w:t>(a)</w:t>
      </w:r>
      <w:r w:rsidRPr="001B1F25">
        <w:rPr>
          <w:rFonts w:eastAsia="Arial"/>
          <w:color w:val="000000"/>
          <w:u w:color="000000"/>
        </w:rPr>
        <w:tab/>
      </w:r>
      <w:r w:rsidRPr="00C74E98">
        <w:t xml:space="preserve">must be aware of, and have </w:t>
      </w:r>
      <w:proofErr w:type="gramStart"/>
      <w:r w:rsidRPr="00C74E98">
        <w:t>actually read</w:t>
      </w:r>
      <w:proofErr w:type="gramEnd"/>
      <w:r w:rsidRPr="00C74E98">
        <w:t>, any disclosure you make of the type mentioned above; and</w:t>
      </w:r>
    </w:p>
    <w:p w14:paraId="2D7728A4" w14:textId="77777777" w:rsidR="00260D97" w:rsidRDefault="00260D97" w:rsidP="00260D97">
      <w:pPr>
        <w:pStyle w:val="GG-body"/>
        <w:ind w:left="851" w:hanging="425"/>
      </w:pPr>
      <w:r w:rsidRPr="001B1F25">
        <w:rPr>
          <w:rFonts w:eastAsia="Arial"/>
          <w:color w:val="000000"/>
          <w:u w:color="000000"/>
        </w:rPr>
        <w:t>(b)</w:t>
      </w:r>
      <w:r w:rsidRPr="001B1F25">
        <w:rPr>
          <w:rFonts w:eastAsia="Arial"/>
          <w:color w:val="000000"/>
          <w:u w:color="000000"/>
        </w:rPr>
        <w:tab/>
      </w:r>
      <w:r w:rsidRPr="00C74E98">
        <w:t>must attest to those facts in the person</w:t>
      </w:r>
      <w:r>
        <w:t>’</w:t>
      </w:r>
      <w:r w:rsidRPr="00C74E98">
        <w:t>s certificate of character.</w:t>
      </w:r>
    </w:p>
    <w:p w14:paraId="4F5EF737" w14:textId="77777777" w:rsidR="00260D97" w:rsidRDefault="00260D97" w:rsidP="00260D97">
      <w:pPr>
        <w:pStyle w:val="GG-body"/>
        <w:ind w:left="284"/>
      </w:pPr>
      <w:r w:rsidRPr="00C74E98">
        <w:t>Because of the privacy implications of disclosures about your capacity, a person who supplies a certificate of character need not be aware of any disclosure you have made about your capacity: see item 8.</w:t>
      </w:r>
    </w:p>
    <w:p w14:paraId="093ED871" w14:textId="77777777" w:rsidR="00260D97" w:rsidRDefault="00260D97" w:rsidP="00260D97">
      <w:pPr>
        <w:pStyle w:val="GG-body"/>
        <w:ind w:left="284" w:hanging="284"/>
        <w:rPr>
          <w:b/>
        </w:rPr>
      </w:pPr>
      <w:r w:rsidRPr="00C74E98">
        <w:rPr>
          <w:b/>
        </w:rPr>
        <w:t>8.</w:t>
      </w:r>
      <w:r>
        <w:rPr>
          <w:b/>
        </w:rPr>
        <w:tab/>
      </w:r>
      <w:r w:rsidRPr="00C74E98">
        <w:rPr>
          <w:b/>
        </w:rPr>
        <w:t>Disclosures about capacity</w:t>
      </w:r>
    </w:p>
    <w:p w14:paraId="4B022A43" w14:textId="77777777" w:rsidR="00260D97" w:rsidRDefault="00260D97" w:rsidP="00260D97">
      <w:pPr>
        <w:pStyle w:val="GG-body"/>
        <w:ind w:left="709" w:hanging="425"/>
        <w:rPr>
          <w:b/>
        </w:rPr>
      </w:pPr>
      <w:r w:rsidRPr="00C74E98">
        <w:rPr>
          <w:b/>
        </w:rPr>
        <w:t>8.1</w:t>
      </w:r>
      <w:r>
        <w:rPr>
          <w:b/>
        </w:rPr>
        <w:tab/>
      </w:r>
      <w:r w:rsidRPr="00C74E98">
        <w:rPr>
          <w:b/>
        </w:rPr>
        <w:t>What the law says</w:t>
      </w:r>
    </w:p>
    <w:p w14:paraId="2D1C238F" w14:textId="77777777" w:rsidR="00260D97" w:rsidRDefault="00260D97" w:rsidP="00260D97">
      <w:pPr>
        <w:pStyle w:val="GG-body"/>
        <w:ind w:left="709"/>
      </w:pPr>
      <w:r w:rsidRPr="00C74E98">
        <w:t xml:space="preserve">An Admitting Authority is also required to consider whether, at the time of making your application, you </w:t>
      </w:r>
      <w:proofErr w:type="gramStart"/>
      <w:r w:rsidRPr="00C74E98">
        <w:t>are able to</w:t>
      </w:r>
      <w:proofErr w:type="gramEnd"/>
      <w:r w:rsidRPr="00C74E98">
        <w:t xml:space="preserve"> carry out the inherent requirements of legal practice.</w:t>
      </w:r>
    </w:p>
    <w:p w14:paraId="2B8CE8E9" w14:textId="77777777" w:rsidR="00260D97" w:rsidRPr="00E80936" w:rsidRDefault="00260D97" w:rsidP="00260D97">
      <w:pPr>
        <w:pStyle w:val="GG-body"/>
        <w:ind w:left="709"/>
        <w:rPr>
          <w:spacing w:val="-2"/>
        </w:rPr>
      </w:pPr>
      <w:r w:rsidRPr="00C74E98">
        <w:rPr>
          <w:spacing w:val="-2"/>
        </w:rPr>
        <w:t>The requirement of capacity is separate and distinct from the requirement to be a fit and proper person or of good fame and character.</w:t>
      </w:r>
    </w:p>
    <w:p w14:paraId="57D002D1" w14:textId="77777777" w:rsidR="00260D97" w:rsidRDefault="00260D97" w:rsidP="00260D97">
      <w:pPr>
        <w:pStyle w:val="GG-body"/>
        <w:ind w:left="709"/>
      </w:pPr>
      <w:r w:rsidRPr="00C74E98">
        <w:t>The Legal Profession Acts and Admission Rules variously describe matters relating to an applicant</w:t>
      </w:r>
      <w:r>
        <w:t>’</w:t>
      </w:r>
      <w:r w:rsidRPr="00C74E98">
        <w:t>s capacity about which an Admitting Authority must satisfy itself, in the following ways</w:t>
      </w:r>
      <w:r>
        <w:t>—</w:t>
      </w:r>
    </w:p>
    <w:p w14:paraId="6208F366" w14:textId="77777777" w:rsidR="00260D97" w:rsidRDefault="00260D97" w:rsidP="00260D97">
      <w:pPr>
        <w:pStyle w:val="GG-body"/>
        <w:ind w:left="1276" w:hanging="425"/>
      </w:pPr>
      <w:r w:rsidRPr="001B1F25">
        <w:rPr>
          <w:rFonts w:eastAsia="Arial"/>
          <w:color w:val="000000"/>
          <w:u w:color="000000"/>
        </w:rPr>
        <w:t>(a)</w:t>
      </w:r>
      <w:r w:rsidRPr="001B1F25">
        <w:rPr>
          <w:rFonts w:eastAsia="Arial"/>
          <w:color w:val="000000"/>
          <w:u w:color="000000"/>
        </w:rPr>
        <w:tab/>
      </w:r>
      <w:r w:rsidRPr="00C74E98">
        <w:t>whether the person is currently unable satisfactorily to carry out the inherent requirements of practice as an Australian legal practitioner;</w:t>
      </w:r>
      <w:r w:rsidRPr="00C74E98">
        <w:rPr>
          <w:vertAlign w:val="superscript"/>
        </w:rPr>
        <w:footnoteReference w:id="16"/>
      </w:r>
    </w:p>
    <w:p w14:paraId="0C6E8A57" w14:textId="77777777" w:rsidR="00260D97" w:rsidRDefault="00260D97" w:rsidP="00260D97">
      <w:pPr>
        <w:pStyle w:val="GG-body"/>
        <w:ind w:left="1276" w:hanging="425"/>
      </w:pPr>
      <w:r w:rsidRPr="001B1F25">
        <w:rPr>
          <w:rFonts w:eastAsia="Arial"/>
          <w:color w:val="000000"/>
          <w:u w:color="000000"/>
        </w:rPr>
        <w:t>(b)</w:t>
      </w:r>
      <w:r w:rsidRPr="001B1F25">
        <w:rPr>
          <w:rFonts w:eastAsia="Arial"/>
          <w:color w:val="000000"/>
          <w:u w:color="000000"/>
        </w:rPr>
        <w:tab/>
      </w:r>
      <w:r w:rsidRPr="00C74E98">
        <w:t>whether the person currently has a material inability to engage in legal practice.</w:t>
      </w:r>
      <w:r w:rsidRPr="00C74E98">
        <w:rPr>
          <w:vertAlign w:val="superscript"/>
        </w:rPr>
        <w:footnoteReference w:id="17"/>
      </w:r>
    </w:p>
    <w:p w14:paraId="07BDEFDE" w14:textId="77777777" w:rsidR="00260D97" w:rsidRDefault="00260D97" w:rsidP="00260D97">
      <w:pPr>
        <w:pStyle w:val="GG-body"/>
        <w:ind w:left="709"/>
      </w:pPr>
      <w:r w:rsidRPr="00C74E98">
        <w:t>Further, in deciding whether you are a fit and proper person, most Admitting Authorities also have power to have regard to any other matter it considers relevant, in addition to each of the matters particularly prescribed by legislation.</w:t>
      </w:r>
      <w:r w:rsidRPr="00C74E98">
        <w:rPr>
          <w:vertAlign w:val="superscript"/>
        </w:rPr>
        <w:footnoteReference w:id="18"/>
      </w:r>
    </w:p>
    <w:p w14:paraId="1CA7DD56" w14:textId="77777777" w:rsidR="00260D97" w:rsidRDefault="00260D97" w:rsidP="00260D97">
      <w:pPr>
        <w:pStyle w:val="GG-body"/>
        <w:ind w:left="709"/>
      </w:pPr>
      <w:r w:rsidRPr="00C74E98">
        <w:t>Your precise obligation thus depends on the relevant legislation in the jurisdiction in which you seek admission.</w:t>
      </w:r>
    </w:p>
    <w:p w14:paraId="6EE2DCDE" w14:textId="77777777" w:rsidR="00260D97" w:rsidRDefault="00260D97" w:rsidP="00260D97">
      <w:pPr>
        <w:pStyle w:val="GG-body"/>
        <w:ind w:left="709"/>
      </w:pPr>
      <w:r w:rsidRPr="00C74E98">
        <w:t xml:space="preserve">Note, however, that apart from making disclosures which respond to the </w:t>
      </w:r>
      <w:proofErr w:type="gramStart"/>
      <w:r w:rsidRPr="00C74E98">
        <w:t>particular legislative</w:t>
      </w:r>
      <w:proofErr w:type="gramEnd"/>
      <w:r w:rsidRPr="00C74E98">
        <w:t xml:space="preserve"> requirement relevant to your capacity, it would be sensible for you to disclose any other matters which an Admitting Authority might think relevant when assessing your current capacity to engage in legal practice.</w:t>
      </w:r>
    </w:p>
    <w:p w14:paraId="10402C6F" w14:textId="77777777" w:rsidR="00260D97" w:rsidRDefault="00260D97" w:rsidP="00260D97">
      <w:pPr>
        <w:pStyle w:val="GG-body"/>
        <w:ind w:left="709" w:hanging="425"/>
        <w:rPr>
          <w:b/>
        </w:rPr>
      </w:pPr>
      <w:r w:rsidRPr="00C74E98">
        <w:rPr>
          <w:b/>
        </w:rPr>
        <w:t>8.2</w:t>
      </w:r>
      <w:r>
        <w:rPr>
          <w:b/>
        </w:rPr>
        <w:tab/>
      </w:r>
      <w:r w:rsidRPr="00C74E98">
        <w:rPr>
          <w:b/>
        </w:rPr>
        <w:t>What your Admitting Authority does</w:t>
      </w:r>
    </w:p>
    <w:p w14:paraId="08F55480" w14:textId="77777777" w:rsidR="00260D97" w:rsidRDefault="00260D97" w:rsidP="00260D97">
      <w:pPr>
        <w:pStyle w:val="GG-body"/>
        <w:ind w:left="709"/>
      </w:pPr>
      <w:r w:rsidRPr="00C74E98">
        <w:t>Your Admitting Authority has a positive, encouraging approach to people seeking admission who experience mental, physical or other health conditions or disabilities. It wishes to ensure that such people are assisted, encouraged and supported to seek admission and to engage in legal practice.</w:t>
      </w:r>
    </w:p>
    <w:p w14:paraId="46B7727D" w14:textId="77777777" w:rsidR="00260D97" w:rsidRDefault="00260D97" w:rsidP="00260D97">
      <w:pPr>
        <w:pStyle w:val="GG-body"/>
        <w:ind w:left="709"/>
      </w:pPr>
      <w:r w:rsidRPr="00C74E98">
        <w:t>It encourages people to seek medical or psychological help before seeking admission and, indeed, whenever they feel the need. Willingness to seek help counts in one</w:t>
      </w:r>
      <w:r>
        <w:t>’</w:t>
      </w:r>
      <w:r w:rsidRPr="00C74E98">
        <w:t>s favour. Seeking early help can both demonstrate appropriate insight into one</w:t>
      </w:r>
      <w:r>
        <w:t>’</w:t>
      </w:r>
      <w:r w:rsidRPr="00C74E98">
        <w:t xml:space="preserve">s condition or disability </w:t>
      </w:r>
      <w:proofErr w:type="gramStart"/>
      <w:r w:rsidRPr="00C74E98">
        <w:t>and also</w:t>
      </w:r>
      <w:proofErr w:type="gramEnd"/>
      <w:r w:rsidRPr="00C74E98">
        <w:t xml:space="preserve"> avert the risk of conduct that could become relevant to one</w:t>
      </w:r>
      <w:r>
        <w:t>’</w:t>
      </w:r>
      <w:r w:rsidRPr="00C74E98">
        <w:t>s suitability for admission. Seeking psychological or medical help will not, of itself, prejudice one</w:t>
      </w:r>
      <w:r>
        <w:t>’</w:t>
      </w:r>
      <w:r w:rsidRPr="00C74E98">
        <w:t>s ability to be admitted. Similarly, telling the Admitting Authority about the circumstances underlying the help received will not, of itself, prejudice one</w:t>
      </w:r>
      <w:r>
        <w:t>’</w:t>
      </w:r>
      <w:r w:rsidRPr="00C74E98">
        <w:t xml:space="preserve">s ability to be admitted. On the contrary, it may show that one has appropriate strategies to deal with any stresses that arise </w:t>
      </w:r>
      <w:proofErr w:type="gramStart"/>
      <w:r w:rsidRPr="00C74E98">
        <w:t>in the course of</w:t>
      </w:r>
      <w:proofErr w:type="gramEnd"/>
      <w:r w:rsidRPr="00C74E98">
        <w:t xml:space="preserve"> legal practice; and that any former difficulties have been overcome.</w:t>
      </w:r>
    </w:p>
    <w:p w14:paraId="06B003E6" w14:textId="77777777" w:rsidR="00260D97" w:rsidRDefault="00260D97" w:rsidP="00260D97">
      <w:pPr>
        <w:pStyle w:val="GG-body"/>
        <w:ind w:left="709"/>
      </w:pPr>
      <w:r w:rsidRPr="00C74E98">
        <w:t>If you happen to have, or to have experienced in the past, a mental, physical or other</w:t>
      </w:r>
      <w:r>
        <w:t xml:space="preserve"> </w:t>
      </w:r>
      <w:r w:rsidRPr="00C74E98">
        <w:t>health condition or disability</w:t>
      </w:r>
      <w:r>
        <w:t>—</w:t>
      </w:r>
    </w:p>
    <w:p w14:paraId="299243E8" w14:textId="77777777" w:rsidR="00260D97" w:rsidRDefault="00260D97" w:rsidP="00260D97">
      <w:pPr>
        <w:pStyle w:val="GG-body"/>
        <w:ind w:left="1276" w:hanging="425"/>
      </w:pPr>
      <w:r w:rsidRPr="001B1F25">
        <w:rPr>
          <w:rFonts w:eastAsia="Arial"/>
          <w:color w:val="000000"/>
          <w:u w:color="000000"/>
        </w:rPr>
        <w:t>(a)</w:t>
      </w:r>
      <w:r w:rsidRPr="001B1F25">
        <w:rPr>
          <w:rFonts w:eastAsia="Arial"/>
          <w:color w:val="000000"/>
          <w:u w:color="000000"/>
        </w:rPr>
        <w:tab/>
      </w:r>
      <w:r w:rsidRPr="00C74E98">
        <w:t>you are encouraged to obtain medical or psychological help if you feel you need it; and</w:t>
      </w:r>
    </w:p>
    <w:p w14:paraId="6B43DB58" w14:textId="77777777" w:rsidR="00260D97" w:rsidRDefault="00260D97" w:rsidP="00260D97">
      <w:pPr>
        <w:pStyle w:val="GG-body"/>
        <w:ind w:left="1276" w:hanging="425"/>
      </w:pPr>
      <w:r w:rsidRPr="001B1F25">
        <w:rPr>
          <w:rFonts w:eastAsia="Arial"/>
          <w:color w:val="000000"/>
          <w:u w:color="000000"/>
        </w:rPr>
        <w:t>(b)</w:t>
      </w:r>
      <w:r w:rsidRPr="001B1F25">
        <w:rPr>
          <w:rFonts w:eastAsia="Arial"/>
          <w:color w:val="000000"/>
          <w:u w:color="000000"/>
        </w:rPr>
        <w:tab/>
      </w:r>
      <w:r w:rsidRPr="00C74E98">
        <w:t>that condition or disability, or the fact that you have sought or are obtaining help, will not necessarily prejudice your application for admission; but</w:t>
      </w:r>
    </w:p>
    <w:p w14:paraId="2542A46C" w14:textId="77777777" w:rsidR="00260D97" w:rsidRDefault="00260D97" w:rsidP="00260D97">
      <w:pPr>
        <w:pStyle w:val="GG-body"/>
        <w:ind w:left="1276" w:hanging="425"/>
      </w:pPr>
      <w:r w:rsidRPr="001B1F25">
        <w:rPr>
          <w:rFonts w:eastAsia="Arial"/>
          <w:color w:val="000000"/>
          <w:u w:color="000000"/>
        </w:rPr>
        <w:t>(c)</w:t>
      </w:r>
      <w:r w:rsidRPr="001B1F25">
        <w:rPr>
          <w:rFonts w:eastAsia="Arial"/>
          <w:color w:val="000000"/>
          <w:u w:color="000000"/>
        </w:rPr>
        <w:tab/>
      </w:r>
      <w:r w:rsidRPr="00C74E98">
        <w:t>your Admitting Authority is likely to consider that any behaviour or conduct arising from, or attributable to, that condition or disability is relevant, and should therefore be disclosed.</w:t>
      </w:r>
    </w:p>
    <w:p w14:paraId="08AA9AFB" w14:textId="77777777" w:rsidR="00260D97" w:rsidRDefault="00260D97" w:rsidP="00260D97">
      <w:pPr>
        <w:pStyle w:val="GG-body"/>
        <w:ind w:left="709"/>
      </w:pPr>
      <w:r w:rsidRPr="00C74E98">
        <w:t>Your Admitting Authority</w:t>
      </w:r>
      <w:r>
        <w:t>’</w:t>
      </w:r>
      <w:r w:rsidRPr="00C74E98">
        <w:t>s task is to determine if you are currently able to carry out the inherent requirements of practice. It will do this in the light of any disclosures you make and any supporting information you choose to provide.</w:t>
      </w:r>
    </w:p>
    <w:p w14:paraId="14083733" w14:textId="77777777" w:rsidR="00260D97" w:rsidRDefault="00260D97" w:rsidP="00260D97">
      <w:pPr>
        <w:pStyle w:val="GG-body"/>
        <w:ind w:left="709"/>
      </w:pPr>
      <w:r w:rsidRPr="00C74E98">
        <w:t>Any mental, physical or other health condition or disability which you have, or may have had in the past, will only be relevant if it affects your current ability to carry out the inherent requirements of practice.</w:t>
      </w:r>
    </w:p>
    <w:p w14:paraId="1A3A52DB" w14:textId="77777777" w:rsidR="00260D97" w:rsidRDefault="00260D97" w:rsidP="00260D97">
      <w:pPr>
        <w:pStyle w:val="GG-body"/>
        <w:ind w:left="709"/>
      </w:pPr>
      <w:r w:rsidRPr="00C74E98">
        <w:t xml:space="preserve">Except for the purposes of the administration of its relevant legislation, or as otherwise required by law, your Admitting Authority will not disclose to others (including any prospective employer) any personal or medical evidence that you disclose to it. </w:t>
      </w:r>
      <w:proofErr w:type="gramStart"/>
      <w:r w:rsidRPr="00C74E98">
        <w:t>In order to</w:t>
      </w:r>
      <w:proofErr w:type="gramEnd"/>
      <w:r w:rsidRPr="00C74E98">
        <w:t xml:space="preserve"> further protect your privacy, you may make any disclosure about your capacity in a separate statutory declaration lodged with your application.</w:t>
      </w:r>
    </w:p>
    <w:p w14:paraId="4A895F4B" w14:textId="77777777" w:rsidR="00260D97" w:rsidRDefault="00260D97" w:rsidP="00260D97">
      <w:pPr>
        <w:pStyle w:val="GG-body"/>
        <w:ind w:left="709" w:hanging="425"/>
        <w:rPr>
          <w:b/>
        </w:rPr>
      </w:pPr>
      <w:r w:rsidRPr="00C74E98">
        <w:rPr>
          <w:b/>
        </w:rPr>
        <w:lastRenderedPageBreak/>
        <w:t>8.3</w:t>
      </w:r>
      <w:r>
        <w:rPr>
          <w:b/>
        </w:rPr>
        <w:tab/>
      </w:r>
      <w:r w:rsidRPr="00C74E98">
        <w:rPr>
          <w:b/>
        </w:rPr>
        <w:t>When a health condition may become relevant</w:t>
      </w:r>
    </w:p>
    <w:p w14:paraId="1319A1E1" w14:textId="77777777" w:rsidR="00260D97" w:rsidRDefault="00260D97" w:rsidP="00260D97">
      <w:pPr>
        <w:pStyle w:val="GG-body"/>
        <w:ind w:left="1276" w:hanging="425"/>
      </w:pPr>
      <w:r w:rsidRPr="001B1F25">
        <w:rPr>
          <w:rFonts w:eastAsia="Arial"/>
          <w:color w:val="000000"/>
          <w:u w:color="000000"/>
        </w:rPr>
        <w:t>(a)</w:t>
      </w:r>
      <w:r w:rsidRPr="001B1F25">
        <w:rPr>
          <w:rFonts w:eastAsia="Arial"/>
          <w:color w:val="000000"/>
          <w:u w:color="000000"/>
        </w:rPr>
        <w:tab/>
      </w:r>
      <w:r w:rsidRPr="00C74E98">
        <w:t>Very occasionally, the mere existence of a health condition or disability may directly affect your current ability to carry out the inherent requirements of practice. For example, if you earlier had a car accident, or an illness, that means you are no longer able to remember instructions which you are given, you may not currently be able to carry out the inherent requirements of practice. You need to disclose any such difficulties to your Admitting Authority.</w:t>
      </w:r>
    </w:p>
    <w:p w14:paraId="59640237" w14:textId="77777777" w:rsidR="00260D97" w:rsidRDefault="00260D97" w:rsidP="00260D97">
      <w:pPr>
        <w:pStyle w:val="GG-body"/>
        <w:ind w:left="1276" w:hanging="425"/>
      </w:pPr>
      <w:r w:rsidRPr="001B1F25">
        <w:rPr>
          <w:rFonts w:eastAsia="Arial"/>
          <w:color w:val="000000"/>
          <w:u w:color="000000"/>
        </w:rPr>
        <w:t>(b)</w:t>
      </w:r>
      <w:r w:rsidRPr="001B1F25">
        <w:rPr>
          <w:rFonts w:eastAsia="Arial"/>
          <w:color w:val="000000"/>
          <w:u w:color="000000"/>
        </w:rPr>
        <w:tab/>
      </w:r>
      <w:r w:rsidRPr="00C74E98">
        <w:t>Sometimes your past conduct (whether by act or omission) might raise questions about whether you are currently able to carry out the inherent requirements of practice. Repeated instances of certain conduct might cast doubt on your insight, or on your ability to make sound judgments. You need to disclose any such conduct to your Admitting Authority.</w:t>
      </w:r>
    </w:p>
    <w:p w14:paraId="6CB5CAC6" w14:textId="77777777" w:rsidR="00260D97" w:rsidRPr="0094249C" w:rsidRDefault="00260D97" w:rsidP="00260D97">
      <w:pPr>
        <w:pStyle w:val="GG-body"/>
        <w:ind w:left="1276" w:hanging="425"/>
        <w:rPr>
          <w:spacing w:val="-2"/>
        </w:rPr>
      </w:pPr>
      <w:r w:rsidRPr="001B1F25">
        <w:rPr>
          <w:rFonts w:eastAsia="Arial"/>
          <w:color w:val="000000"/>
          <w:u w:color="000000"/>
        </w:rPr>
        <w:t>(c)</w:t>
      </w:r>
      <w:r w:rsidRPr="001B1F25">
        <w:rPr>
          <w:rFonts w:eastAsia="Arial"/>
          <w:color w:val="000000"/>
          <w:u w:color="000000"/>
        </w:rPr>
        <w:tab/>
      </w:r>
      <w:r w:rsidRPr="00C74E98">
        <w:rPr>
          <w:spacing w:val="-2"/>
        </w:rPr>
        <w:t>If you think that conduct might be wholly or partly explained by, or associated with, some physical, mental or other health condition or disability (whether diagnosed or not), you can choose to disclose that condition or disability; and may provide any supporting medical evidence that you think might assist your Admitting Authority to decide whether you are currently able to carry out the inherent requirements of practice. Such information may well explain the reasons underlying your conduct; and demonstrate that the underlying cause has been effectively dealt with or appropriately managed.</w:t>
      </w:r>
    </w:p>
    <w:p w14:paraId="1531031F" w14:textId="77777777" w:rsidR="00260D97" w:rsidRDefault="00260D97" w:rsidP="00260D97">
      <w:pPr>
        <w:pStyle w:val="GG-body"/>
        <w:ind w:left="1276" w:hanging="425"/>
      </w:pPr>
      <w:r w:rsidRPr="001B1F25">
        <w:rPr>
          <w:rFonts w:eastAsia="Arial"/>
          <w:color w:val="000000"/>
          <w:u w:color="000000"/>
        </w:rPr>
        <w:t>(d)</w:t>
      </w:r>
      <w:r w:rsidRPr="001B1F25">
        <w:rPr>
          <w:rFonts w:eastAsia="Arial"/>
          <w:color w:val="000000"/>
          <w:u w:color="000000"/>
        </w:rPr>
        <w:tab/>
      </w:r>
      <w:r w:rsidRPr="00C74E98">
        <w:t>If you seek to demonstrate that your condition or disability is appropriately managed and stable, a certificate to that effect from one or more of your treating medical practitioners would greatly assist your Admitting Authority.</w:t>
      </w:r>
    </w:p>
    <w:p w14:paraId="1451730A" w14:textId="77777777" w:rsidR="00260D97" w:rsidRDefault="00260D97" w:rsidP="00260D97">
      <w:pPr>
        <w:pStyle w:val="GG-body"/>
        <w:ind w:left="709" w:hanging="425"/>
        <w:rPr>
          <w:b/>
        </w:rPr>
      </w:pPr>
      <w:r w:rsidRPr="00C74E98">
        <w:rPr>
          <w:b/>
        </w:rPr>
        <w:t>8.4</w:t>
      </w:r>
      <w:r>
        <w:rPr>
          <w:b/>
        </w:rPr>
        <w:tab/>
      </w:r>
      <w:r w:rsidRPr="00C74E98">
        <w:rPr>
          <w:b/>
        </w:rPr>
        <w:t>Examples</w:t>
      </w:r>
    </w:p>
    <w:p w14:paraId="13B6F1A5" w14:textId="77777777" w:rsidR="00260D97" w:rsidRDefault="00260D97" w:rsidP="00260D97">
      <w:pPr>
        <w:pStyle w:val="GG-body"/>
        <w:ind w:left="709"/>
      </w:pPr>
      <w:r w:rsidRPr="00C74E98">
        <w:t xml:space="preserve">The following examples are merely indicative illustrations. An Admitting Authority responds to the </w:t>
      </w:r>
      <w:proofErr w:type="gramStart"/>
      <w:r w:rsidRPr="00C74E98">
        <w:t>particular circumstances</w:t>
      </w:r>
      <w:proofErr w:type="gramEnd"/>
      <w:r w:rsidRPr="00C74E98">
        <w:t xml:space="preserve"> of each application. The examples cannot thus be considered as binding on an Admitting Authority.</w:t>
      </w:r>
    </w:p>
    <w:p w14:paraId="6C610475" w14:textId="77777777" w:rsidR="00260D97" w:rsidRDefault="00260D97" w:rsidP="00260D97">
      <w:pPr>
        <w:pStyle w:val="GG-body"/>
        <w:ind w:left="1276" w:hanging="425"/>
      </w:pPr>
      <w:r w:rsidRPr="001B1F25">
        <w:rPr>
          <w:rFonts w:eastAsia="Arial"/>
          <w:color w:val="000000"/>
          <w:u w:color="000000"/>
        </w:rPr>
        <w:t>(a)</w:t>
      </w:r>
      <w:r w:rsidRPr="001B1F25">
        <w:rPr>
          <w:rFonts w:eastAsia="Arial"/>
          <w:color w:val="000000"/>
          <w:u w:color="000000"/>
        </w:rPr>
        <w:tab/>
      </w:r>
      <w:r w:rsidRPr="00C74E98">
        <w:t>S found first year law very difficult. She wasn</w:t>
      </w:r>
      <w:r>
        <w:t>’</w:t>
      </w:r>
      <w:r w:rsidRPr="00C74E98">
        <w:t xml:space="preserve">t prepared for the work </w:t>
      </w:r>
      <w:proofErr w:type="gramStart"/>
      <w:r w:rsidRPr="00C74E98">
        <w:t>required, and</w:t>
      </w:r>
      <w:proofErr w:type="gramEnd"/>
      <w:r w:rsidRPr="00C74E98">
        <w:t xml:space="preserve"> found it hard to meet all deadlines. As she had always done well at school, she was surprised that her law school marks were always bare passes. She became anxious about her </w:t>
      </w:r>
      <w:proofErr w:type="gramStart"/>
      <w:r w:rsidRPr="00C74E98">
        <w:t>capacity, and</w:t>
      </w:r>
      <w:proofErr w:type="gramEnd"/>
      <w:r w:rsidRPr="00C74E98">
        <w:t xml:space="preserve"> questioned whether she should be doing law.</w:t>
      </w:r>
    </w:p>
    <w:p w14:paraId="60F4DB36" w14:textId="77777777" w:rsidR="00260D97" w:rsidRDefault="00260D97" w:rsidP="00260D97">
      <w:pPr>
        <w:pStyle w:val="GG-body"/>
        <w:ind w:left="1276"/>
      </w:pPr>
      <w:r w:rsidRPr="00C74E98">
        <w:t>On the recommendation of a lecturer, she attended the University</w:t>
      </w:r>
      <w:r>
        <w:t>’</w:t>
      </w:r>
      <w:r w:rsidRPr="00C74E98">
        <w:t>s counselling service. The counsellor helped her to recognise the causes of her anxiety; advised her how to manage those causes; and recommended that she should attend a mindfulness course. After working with the counsellor, and undertaking the mindfulness course, S still felt stressed about law school. Having learned how to manage her stress appropriately, however, she successfully completed her law course and PLT course.</w:t>
      </w:r>
    </w:p>
    <w:p w14:paraId="2C8A973C" w14:textId="77777777" w:rsidR="00260D97" w:rsidRDefault="00260D97" w:rsidP="00260D97">
      <w:pPr>
        <w:pStyle w:val="GG-body"/>
        <w:ind w:left="1276"/>
      </w:pPr>
      <w:r w:rsidRPr="00C74E98">
        <w:t>S would not need to disclose these circumstances to her Admitting Authority.</w:t>
      </w:r>
    </w:p>
    <w:p w14:paraId="5BD8B2DC" w14:textId="77777777" w:rsidR="00260D97" w:rsidRDefault="00260D97" w:rsidP="00260D97">
      <w:pPr>
        <w:pStyle w:val="GG-body"/>
        <w:ind w:left="1276" w:hanging="425"/>
      </w:pPr>
      <w:r w:rsidRPr="001B1F25">
        <w:rPr>
          <w:rFonts w:eastAsia="Arial"/>
          <w:color w:val="000000"/>
          <w:u w:color="000000"/>
        </w:rPr>
        <w:t>(b)</w:t>
      </w:r>
      <w:r w:rsidRPr="001B1F25">
        <w:rPr>
          <w:rFonts w:eastAsia="Arial"/>
          <w:color w:val="000000"/>
          <w:u w:color="000000"/>
        </w:rPr>
        <w:tab/>
      </w:r>
      <w:r w:rsidRPr="00C74E98">
        <w:t>P comes from a family with a history of severe depression and has suffered depression for many years, attempting suicide on several occasions. He managed to get through his law course with difficulty, often requiring substantial special consideration to complete assessments and examinations. He has completed an on-line PLT course, but his depression persists. It severely affects his ability to engage in daily activities; and he often finds that he is unable to get out of bed in the morning.</w:t>
      </w:r>
    </w:p>
    <w:p w14:paraId="23528880" w14:textId="77777777" w:rsidR="00260D97" w:rsidRPr="003C35D7" w:rsidRDefault="00260D97" w:rsidP="00260D97">
      <w:pPr>
        <w:pStyle w:val="GG-body"/>
        <w:ind w:left="1276"/>
        <w:rPr>
          <w:spacing w:val="-2"/>
        </w:rPr>
      </w:pPr>
      <w:r w:rsidRPr="00C74E98">
        <w:t xml:space="preserve">P would need to disclose his difficulties to his Admitting Authority, as they raise questions about whether he is currently able to carry out the inherent requirements of practice. Disclosing his condition to the Admitting Authority does not necessarily mean that he would not be admitted, however. The Admitting Authority would probably wish to know whether, and if so how, his present difficulties might be overcome or managed. It would be sensible for P to answer </w:t>
      </w:r>
      <w:r w:rsidRPr="00C74E98">
        <w:rPr>
          <w:spacing w:val="-2"/>
        </w:rPr>
        <w:t>these questions in his initial disclosure, rather than waiting to be asked for further information by the Admitting Authority.</w:t>
      </w:r>
    </w:p>
    <w:p w14:paraId="304B6387" w14:textId="77777777" w:rsidR="00260D97" w:rsidRDefault="00260D97" w:rsidP="00260D97">
      <w:pPr>
        <w:pStyle w:val="GG-body"/>
        <w:ind w:left="1276" w:hanging="425"/>
      </w:pPr>
      <w:r w:rsidRPr="001B1F25">
        <w:rPr>
          <w:rFonts w:eastAsia="Arial"/>
          <w:color w:val="000000"/>
          <w:u w:color="000000"/>
        </w:rPr>
        <w:t>(c)</w:t>
      </w:r>
      <w:r w:rsidRPr="001B1F25">
        <w:rPr>
          <w:rFonts w:eastAsia="Arial"/>
          <w:color w:val="000000"/>
          <w:u w:color="000000"/>
        </w:rPr>
        <w:tab/>
      </w:r>
      <w:r w:rsidRPr="00C74E98">
        <w:t xml:space="preserve">M enjoyed the early years of his law course and was doing well. In his third year, however his mother was diagnosed with a serious illness and died late in the year. M was her primary </w:t>
      </w:r>
      <w:proofErr w:type="gramStart"/>
      <w:r w:rsidRPr="00C74E98">
        <w:t>care-giver</w:t>
      </w:r>
      <w:proofErr w:type="gramEnd"/>
      <w:r w:rsidRPr="00C74E98">
        <w:t xml:space="preserve"> during her illness and was devastated by her death. He failed several subjects that year, because of the stress of nursing his mother and his inability to talk about his circumstances with </w:t>
      </w:r>
      <w:proofErr w:type="gramStart"/>
      <w:r w:rsidRPr="00C74E98">
        <w:t>others, and</w:t>
      </w:r>
      <w:proofErr w:type="gramEnd"/>
      <w:r w:rsidRPr="00C74E98">
        <w:t xml:space="preserve"> obtained special consideration.</w:t>
      </w:r>
    </w:p>
    <w:p w14:paraId="57360164" w14:textId="77777777" w:rsidR="00260D97" w:rsidRDefault="00260D97" w:rsidP="00260D97">
      <w:pPr>
        <w:pStyle w:val="GG-body"/>
        <w:ind w:left="1276"/>
      </w:pPr>
      <w:r w:rsidRPr="00C74E98">
        <w:t>Subsequently, however, he became depressed and stopped attending law school. He consulted his GP who diagnosed depression and assisted him to undertake a series of treatments. M found that a combination of medication and counselling helped him regain his equilibrium. He re-enrolled and successfully completed both law and a PLT course. He no longer requires either medication or counselling.</w:t>
      </w:r>
    </w:p>
    <w:p w14:paraId="4DE040E1" w14:textId="77777777" w:rsidR="00260D97" w:rsidRDefault="00260D97" w:rsidP="00260D97">
      <w:pPr>
        <w:pStyle w:val="GG-body"/>
        <w:ind w:left="1276"/>
      </w:pPr>
      <w:r w:rsidRPr="00C74E98">
        <w:t>M would not need to disclose these circumstances to his Admitting Authority.</w:t>
      </w:r>
    </w:p>
    <w:p w14:paraId="2F25D2A1" w14:textId="77777777" w:rsidR="00260D97" w:rsidRDefault="00260D97" w:rsidP="00260D97">
      <w:pPr>
        <w:pStyle w:val="GG-body"/>
        <w:ind w:left="1276" w:hanging="425"/>
      </w:pPr>
      <w:r w:rsidRPr="001B1F25">
        <w:rPr>
          <w:rFonts w:eastAsia="Arial"/>
          <w:color w:val="000000"/>
          <w:u w:color="000000"/>
        </w:rPr>
        <w:t>(d)</w:t>
      </w:r>
      <w:r w:rsidRPr="001B1F25">
        <w:rPr>
          <w:rFonts w:eastAsia="Arial"/>
          <w:color w:val="000000"/>
          <w:u w:color="000000"/>
        </w:rPr>
        <w:tab/>
      </w:r>
      <w:r w:rsidRPr="00C74E98">
        <w:t xml:space="preserve">During his law course, T developed delusions that his teachers were conspiring to have him removed from the law school. He wrote angry, hostile emails to law school and university staff, and alleged serious misconduct and mistreatment on their part to </w:t>
      </w:r>
      <w:proofErr w:type="gramStart"/>
      <w:r w:rsidRPr="00C74E98">
        <w:t>a number of</w:t>
      </w:r>
      <w:proofErr w:type="gramEnd"/>
      <w:r w:rsidRPr="00C74E98">
        <w:t xml:space="preserve"> authorities.</w:t>
      </w:r>
    </w:p>
    <w:p w14:paraId="590E2AA0" w14:textId="77777777" w:rsidR="00260D97" w:rsidRDefault="00260D97" w:rsidP="00260D97">
      <w:pPr>
        <w:pStyle w:val="GG-body"/>
        <w:ind w:left="1276"/>
      </w:pPr>
      <w:r w:rsidRPr="00C74E98">
        <w:t>When several internal university investigations found no proof of his allegations, he became convinced that the conspiracy was widespread. Several University disciplinary actions followed in response to his behaviour, one of which referred him to his GP who, in turn, referred him to a specialist who diagnosed paranoid schizophrenia.</w:t>
      </w:r>
    </w:p>
    <w:p w14:paraId="0F86288D" w14:textId="77777777" w:rsidR="00260D97" w:rsidRDefault="00260D97" w:rsidP="00260D97">
      <w:pPr>
        <w:pStyle w:val="GG-body"/>
        <w:ind w:left="1276"/>
      </w:pPr>
      <w:r w:rsidRPr="00C74E98">
        <w:t>T would need to disclose the activities which preceded his reference to his GP. Given the seriousness of his diagnosis, it would also be prudent for T to declare that condition and how it is being treated and managed, as each of these matters reflect on whether he is currently able to carry out the inherent requirements of practice.</w:t>
      </w:r>
    </w:p>
    <w:p w14:paraId="28CE5655" w14:textId="77777777" w:rsidR="00260D97" w:rsidRDefault="00260D97" w:rsidP="00260D97">
      <w:pPr>
        <w:pStyle w:val="GG-body"/>
        <w:ind w:left="1276"/>
      </w:pPr>
      <w:r w:rsidRPr="00C74E98">
        <w:t>Disclosing his condition and treatment to the Admitting Authority does not necessarily mean that he would not be admitted, however. The Admitting Authority would need to know whether, and if so how, his present difficulties are being overcome or managed.</w:t>
      </w:r>
    </w:p>
    <w:p w14:paraId="0ED2BBB2" w14:textId="77777777" w:rsidR="00260D97" w:rsidRDefault="00260D97" w:rsidP="00260D97">
      <w:pPr>
        <w:pStyle w:val="GG-body"/>
        <w:ind w:left="284" w:hanging="284"/>
        <w:rPr>
          <w:b/>
        </w:rPr>
      </w:pPr>
      <w:r w:rsidRPr="00C74E98">
        <w:rPr>
          <w:b/>
        </w:rPr>
        <w:t>9.</w:t>
      </w:r>
      <w:r>
        <w:rPr>
          <w:b/>
        </w:rPr>
        <w:tab/>
      </w:r>
      <w:r w:rsidRPr="00C74E98">
        <w:rPr>
          <w:b/>
        </w:rPr>
        <w:t>Matters prescribed by legal profession legislation</w:t>
      </w:r>
    </w:p>
    <w:p w14:paraId="457753B6" w14:textId="77777777" w:rsidR="00260D97" w:rsidRDefault="00260D97" w:rsidP="00260D97">
      <w:pPr>
        <w:pStyle w:val="GG-body"/>
        <w:ind w:left="284"/>
      </w:pPr>
      <w:r w:rsidRPr="00C74E98">
        <w:t>You must disclose any matter relevant to an applicant</w:t>
      </w:r>
      <w:r>
        <w:t>’</w:t>
      </w:r>
      <w:r w:rsidRPr="00C74E98">
        <w:t xml:space="preserve">s suitability that is prescribed by legislation relating to the legal profession in the jurisdiction where you seek admission. The matters prescribed for </w:t>
      </w:r>
      <w:r w:rsidRPr="00C74E98">
        <w:rPr>
          <w:i/>
        </w:rPr>
        <w:t xml:space="preserve">[Insert name of relevant jurisdiction] </w:t>
      </w:r>
      <w:r w:rsidRPr="00C74E98">
        <w:t xml:space="preserve">are set out in </w:t>
      </w:r>
      <w:r w:rsidRPr="00C74E98">
        <w:rPr>
          <w:b/>
        </w:rPr>
        <w:t>Appendix 1</w:t>
      </w:r>
      <w:r w:rsidRPr="00C74E98">
        <w:t>.</w:t>
      </w:r>
    </w:p>
    <w:p w14:paraId="0DD341DD" w14:textId="77777777" w:rsidR="00260D97" w:rsidRDefault="00260D97" w:rsidP="00260D97">
      <w:pPr>
        <w:pStyle w:val="GG-body"/>
        <w:ind w:left="284" w:hanging="284"/>
        <w:rPr>
          <w:b/>
        </w:rPr>
      </w:pPr>
      <w:r w:rsidRPr="00C74E98">
        <w:rPr>
          <w:b/>
        </w:rPr>
        <w:t>10.</w:t>
      </w:r>
      <w:r>
        <w:rPr>
          <w:b/>
        </w:rPr>
        <w:tab/>
      </w:r>
      <w:r w:rsidRPr="00C74E98">
        <w:rPr>
          <w:b/>
        </w:rPr>
        <w:t>Form of disclosure</w:t>
      </w:r>
    </w:p>
    <w:p w14:paraId="7C927F77" w14:textId="77777777" w:rsidR="00260D97" w:rsidRPr="006919FD" w:rsidRDefault="00260D97" w:rsidP="00260D97">
      <w:pPr>
        <w:pStyle w:val="GG-body"/>
        <w:ind w:left="284"/>
      </w:pPr>
      <w:r w:rsidRPr="00C74E98">
        <w:t>Any disclosure which you are required to make must be included either in your statutory declaration applying for a compliance certificate or, in the case of a disclosure about capacity, in a supplementary statutory declaration, if you prefer. To corroborate your disclosures, you should make any available supporting document an exhibit to your statutory declaration.</w:t>
      </w:r>
      <w:r>
        <w:rPr>
          <w:b/>
        </w:rPr>
        <w:br w:type="page"/>
      </w:r>
    </w:p>
    <w:p w14:paraId="1B3103AD" w14:textId="77777777" w:rsidR="00260D97" w:rsidRDefault="00260D97" w:rsidP="00260D97">
      <w:pPr>
        <w:pStyle w:val="GG-body"/>
        <w:jc w:val="left"/>
        <w:rPr>
          <w:b/>
        </w:rPr>
      </w:pPr>
      <w:r w:rsidRPr="00C74E98">
        <w:rPr>
          <w:b/>
        </w:rPr>
        <w:lastRenderedPageBreak/>
        <w:t>Appendix 1: Prescribed matters relating to suitability for admission</w:t>
      </w:r>
    </w:p>
    <w:p w14:paraId="4266B8AC" w14:textId="77777777" w:rsidR="00260D97" w:rsidRDefault="00260D97" w:rsidP="00260D97">
      <w:pPr>
        <w:pStyle w:val="GG-body"/>
        <w:rPr>
          <w:i/>
        </w:rPr>
      </w:pPr>
      <w:r w:rsidRPr="00C74E98">
        <w:rPr>
          <w:i/>
        </w:rPr>
        <w:t xml:space="preserve">[This Appendix must set out the </w:t>
      </w:r>
      <w:proofErr w:type="gramStart"/>
      <w:r w:rsidRPr="00C74E98">
        <w:rPr>
          <w:i/>
        </w:rPr>
        <w:t>particular matters</w:t>
      </w:r>
      <w:proofErr w:type="gramEnd"/>
      <w:r w:rsidRPr="00C74E98">
        <w:rPr>
          <w:i/>
        </w:rPr>
        <w:t xml:space="preserve"> relating to an applicant</w:t>
      </w:r>
      <w:r>
        <w:rPr>
          <w:i/>
        </w:rPr>
        <w:t>’</w:t>
      </w:r>
      <w:r w:rsidRPr="00C74E98">
        <w:rPr>
          <w:i/>
        </w:rPr>
        <w:t>s suitability for admission prescribed by or under legislation relating to the legal profession in the relevant jurisdiction in which these guidelines are issued. The following example is from the Legal Profession Uniform Admission Rules 2015, rule 10, which applies in New South Wales, Victoria and Western Australia.]</w:t>
      </w:r>
    </w:p>
    <w:p w14:paraId="79C77A7E" w14:textId="77777777" w:rsidR="00260D97" w:rsidRDefault="00260D97" w:rsidP="00260D97">
      <w:pPr>
        <w:pStyle w:val="GG-body"/>
      </w:pPr>
      <w:r w:rsidRPr="00C74E98">
        <w:t xml:space="preserve">As noted in items 4 and 8 of the Guidelines, your Admitting Authority is required to satisfy itself about each of the following matters. </w:t>
      </w:r>
      <w:proofErr w:type="gramStart"/>
      <w:r w:rsidRPr="00C74E98">
        <w:t>Accordingly</w:t>
      </w:r>
      <w:proofErr w:type="gramEnd"/>
      <w:r w:rsidRPr="00C74E98">
        <w:t xml:space="preserve"> you need to disclose anything that your Admitting Authority might consider relevant when satisfying itself about each of these matters.</w:t>
      </w:r>
    </w:p>
    <w:p w14:paraId="74B33612" w14:textId="77777777" w:rsidR="00260D97" w:rsidRDefault="00260D97" w:rsidP="00260D97">
      <w:pPr>
        <w:pStyle w:val="GG-body"/>
        <w:ind w:left="426" w:hanging="284"/>
      </w:pPr>
      <w:r w:rsidRPr="00C74E98">
        <w:t>(1)</w:t>
      </w:r>
      <w:r>
        <w:tab/>
      </w:r>
      <w:r w:rsidRPr="00C74E98">
        <w:t>For the purposes of section 17(2)(b) of the Uniform Law, the following matters are specified as matters to which the Board must have regard:</w:t>
      </w:r>
    </w:p>
    <w:p w14:paraId="1A2E4BF3" w14:textId="77777777" w:rsidR="00260D97" w:rsidRDefault="00260D97" w:rsidP="00260D97">
      <w:pPr>
        <w:pStyle w:val="GG-body"/>
        <w:ind w:left="851" w:hanging="425"/>
      </w:pPr>
      <w:r w:rsidRPr="001B1F25">
        <w:rPr>
          <w:rFonts w:eastAsia="Arial"/>
          <w:color w:val="000000"/>
          <w:u w:color="000000"/>
        </w:rPr>
        <w:t>(a)</w:t>
      </w:r>
      <w:r w:rsidRPr="001B1F25">
        <w:rPr>
          <w:rFonts w:eastAsia="Arial"/>
          <w:color w:val="000000"/>
          <w:u w:color="000000"/>
        </w:rPr>
        <w:tab/>
      </w:r>
      <w:r w:rsidRPr="00C74E98">
        <w:t>any statutory declaration as to the person</w:t>
      </w:r>
      <w:r>
        <w:t>’</w:t>
      </w:r>
      <w:r w:rsidRPr="00C74E98">
        <w:t>s character, referred to in rule 16,</w:t>
      </w:r>
    </w:p>
    <w:p w14:paraId="7D24630B" w14:textId="77777777" w:rsidR="00260D97" w:rsidRDefault="00260D97" w:rsidP="00260D97">
      <w:pPr>
        <w:pStyle w:val="GG-body"/>
        <w:ind w:left="851" w:hanging="425"/>
      </w:pPr>
      <w:r w:rsidRPr="001B1F25">
        <w:rPr>
          <w:rFonts w:eastAsia="Arial"/>
          <w:color w:val="000000"/>
          <w:u w:color="000000"/>
        </w:rPr>
        <w:t>(b)</w:t>
      </w:r>
      <w:r w:rsidRPr="001B1F25">
        <w:rPr>
          <w:rFonts w:eastAsia="Arial"/>
          <w:color w:val="000000"/>
          <w:u w:color="000000"/>
        </w:rPr>
        <w:tab/>
      </w:r>
      <w:r w:rsidRPr="00C74E98">
        <w:t>any disclosure or statement made by the person under rule 17,</w:t>
      </w:r>
    </w:p>
    <w:p w14:paraId="77F89EEB" w14:textId="77777777" w:rsidR="00260D97" w:rsidRDefault="00260D97" w:rsidP="00260D97">
      <w:pPr>
        <w:pStyle w:val="GG-body"/>
        <w:ind w:left="851" w:hanging="425"/>
      </w:pPr>
      <w:r w:rsidRPr="001B1F25">
        <w:rPr>
          <w:rFonts w:eastAsia="Arial"/>
          <w:color w:val="000000"/>
          <w:u w:color="000000"/>
        </w:rPr>
        <w:t>(c)</w:t>
      </w:r>
      <w:r w:rsidRPr="001B1F25">
        <w:rPr>
          <w:rFonts w:eastAsia="Arial"/>
          <w:color w:val="000000"/>
          <w:u w:color="000000"/>
        </w:rPr>
        <w:tab/>
      </w:r>
      <w:r w:rsidRPr="00C74E98">
        <w:t>any police report provided under rule 18,</w:t>
      </w:r>
    </w:p>
    <w:p w14:paraId="17F59C61" w14:textId="77777777" w:rsidR="00260D97" w:rsidRDefault="00260D97" w:rsidP="00260D97">
      <w:pPr>
        <w:pStyle w:val="GG-body"/>
        <w:ind w:left="851" w:hanging="425"/>
      </w:pPr>
      <w:r w:rsidRPr="001B1F25">
        <w:rPr>
          <w:rFonts w:eastAsia="Arial"/>
          <w:color w:val="000000"/>
          <w:u w:color="000000"/>
        </w:rPr>
        <w:t>(d)</w:t>
      </w:r>
      <w:r w:rsidRPr="001B1F25">
        <w:rPr>
          <w:rFonts w:eastAsia="Arial"/>
          <w:color w:val="000000"/>
          <w:u w:color="000000"/>
        </w:rPr>
        <w:tab/>
      </w:r>
      <w:r w:rsidRPr="00C74E98">
        <w:t>any academic conduct report provided under rule 19,</w:t>
      </w:r>
    </w:p>
    <w:p w14:paraId="447CE438" w14:textId="77777777" w:rsidR="00260D97" w:rsidRDefault="00260D97" w:rsidP="00260D97">
      <w:pPr>
        <w:pStyle w:val="GG-body"/>
        <w:ind w:left="851" w:hanging="425"/>
      </w:pPr>
      <w:r w:rsidRPr="001B1F25">
        <w:rPr>
          <w:rFonts w:eastAsia="Arial"/>
          <w:color w:val="000000"/>
          <w:u w:color="000000"/>
        </w:rPr>
        <w:t>(e)</w:t>
      </w:r>
      <w:r w:rsidRPr="001B1F25">
        <w:rPr>
          <w:rFonts w:eastAsia="Arial"/>
          <w:color w:val="000000"/>
          <w:u w:color="000000"/>
        </w:rPr>
        <w:tab/>
      </w:r>
      <w:r w:rsidRPr="00C74E98">
        <w:t>any certificate of good standing provided under rule 20,</w:t>
      </w:r>
    </w:p>
    <w:p w14:paraId="064C0DEA" w14:textId="77777777" w:rsidR="00260D97" w:rsidRDefault="00260D97" w:rsidP="00260D97">
      <w:pPr>
        <w:pStyle w:val="GG-body"/>
        <w:ind w:left="851" w:hanging="425"/>
      </w:pPr>
      <w:r w:rsidRPr="001B1F25">
        <w:rPr>
          <w:rFonts w:eastAsia="Arial"/>
          <w:color w:val="000000"/>
          <w:u w:color="000000"/>
        </w:rPr>
        <w:t>(f)</w:t>
      </w:r>
      <w:r w:rsidRPr="001B1F25">
        <w:rPr>
          <w:rFonts w:eastAsia="Arial"/>
          <w:color w:val="000000"/>
          <w:u w:color="000000"/>
        </w:rPr>
        <w:tab/>
      </w:r>
      <w:r w:rsidRPr="00C74E98">
        <w:t>whether the person is currently of good reputation and character,</w:t>
      </w:r>
    </w:p>
    <w:p w14:paraId="2EBE8E1E" w14:textId="77777777" w:rsidR="00260D97" w:rsidRDefault="00260D97" w:rsidP="00260D97">
      <w:pPr>
        <w:pStyle w:val="GG-body"/>
        <w:ind w:left="851" w:hanging="425"/>
      </w:pPr>
      <w:r w:rsidRPr="001B1F25">
        <w:rPr>
          <w:rFonts w:eastAsia="Arial"/>
          <w:color w:val="000000"/>
          <w:u w:color="000000"/>
        </w:rPr>
        <w:t>(g)</w:t>
      </w:r>
      <w:r w:rsidRPr="001B1F25">
        <w:rPr>
          <w:rFonts w:eastAsia="Arial"/>
          <w:color w:val="000000"/>
          <w:u w:color="000000"/>
        </w:rPr>
        <w:tab/>
      </w:r>
      <w:r w:rsidRPr="00C74E98">
        <w:t xml:space="preserve">whether the person is or has been a bankrupt or subject to an arrangement under Part 10 of the </w:t>
      </w:r>
      <w:r w:rsidRPr="00C74E98">
        <w:rPr>
          <w:b/>
          <w:i/>
          <w:iCs/>
        </w:rPr>
        <w:t>Bankruptcy Act 1966</w:t>
      </w:r>
      <w:r w:rsidRPr="00C74E98">
        <w:rPr>
          <w:b/>
        </w:rPr>
        <w:t xml:space="preserve"> </w:t>
      </w:r>
      <w:r w:rsidRPr="00C74E98">
        <w:t>of the Commonwealth or has been an officer of a corporation that has been wound up in insolvency or under external administration,</w:t>
      </w:r>
    </w:p>
    <w:p w14:paraId="5F5EF302" w14:textId="77777777" w:rsidR="00260D97" w:rsidRPr="005A3C66" w:rsidRDefault="00260D97" w:rsidP="00260D97">
      <w:pPr>
        <w:pStyle w:val="GG-body"/>
        <w:ind w:left="851" w:hanging="425"/>
        <w:rPr>
          <w:spacing w:val="-2"/>
        </w:rPr>
      </w:pPr>
      <w:r w:rsidRPr="001B1F25">
        <w:rPr>
          <w:rFonts w:eastAsia="Arial"/>
          <w:color w:val="000000"/>
          <w:u w:color="000000"/>
        </w:rPr>
        <w:t>(h)</w:t>
      </w:r>
      <w:r w:rsidRPr="001B1F25">
        <w:rPr>
          <w:rFonts w:eastAsia="Arial"/>
          <w:color w:val="000000"/>
          <w:u w:color="000000"/>
        </w:rPr>
        <w:tab/>
      </w:r>
      <w:r w:rsidRPr="00C74E98">
        <w:rPr>
          <w:spacing w:val="-2"/>
        </w:rPr>
        <w:t>whether the person has been found guilty of an offence including a spent offence in Australia or in a foreign country, and if so</w:t>
      </w:r>
      <w:r>
        <w:rPr>
          <w:spacing w:val="-2"/>
        </w:rPr>
        <w:t>—</w:t>
      </w:r>
    </w:p>
    <w:p w14:paraId="589D72F6" w14:textId="77777777" w:rsidR="00260D97" w:rsidRDefault="00260D97" w:rsidP="00260D97">
      <w:pPr>
        <w:pStyle w:val="GG-body"/>
        <w:ind w:left="1276" w:hanging="425"/>
      </w:pPr>
      <w:r w:rsidRPr="001B1F25">
        <w:rPr>
          <w:rFonts w:eastAsia="Arial"/>
          <w:color w:val="000000"/>
          <w:u w:color="000000"/>
        </w:rPr>
        <w:t>(</w:t>
      </w:r>
      <w:proofErr w:type="spellStart"/>
      <w:r w:rsidRPr="001B1F25">
        <w:rPr>
          <w:rFonts w:eastAsia="Arial"/>
          <w:color w:val="000000"/>
          <w:u w:color="000000"/>
        </w:rPr>
        <w:t>i</w:t>
      </w:r>
      <w:proofErr w:type="spellEnd"/>
      <w:r w:rsidRPr="001B1F25">
        <w:rPr>
          <w:rFonts w:eastAsia="Arial"/>
          <w:color w:val="000000"/>
          <w:u w:color="000000"/>
        </w:rPr>
        <w:t>)</w:t>
      </w:r>
      <w:r w:rsidRPr="001B1F25">
        <w:rPr>
          <w:rFonts w:eastAsia="Arial"/>
          <w:color w:val="000000"/>
          <w:u w:color="000000"/>
        </w:rPr>
        <w:tab/>
      </w:r>
      <w:r w:rsidRPr="00C74E98">
        <w:t>the nature of the offence; and</w:t>
      </w:r>
    </w:p>
    <w:p w14:paraId="2B501C0A" w14:textId="77777777" w:rsidR="00260D97" w:rsidRDefault="00260D97" w:rsidP="00260D97">
      <w:pPr>
        <w:pStyle w:val="GG-body"/>
        <w:ind w:left="1276" w:hanging="425"/>
      </w:pPr>
      <w:r w:rsidRPr="001B1F25">
        <w:rPr>
          <w:rFonts w:eastAsia="Arial"/>
          <w:color w:val="000000"/>
          <w:u w:color="000000"/>
        </w:rPr>
        <w:t>(ii)</w:t>
      </w:r>
      <w:r w:rsidRPr="001B1F25">
        <w:rPr>
          <w:rFonts w:eastAsia="Arial"/>
          <w:color w:val="000000"/>
          <w:u w:color="000000"/>
        </w:rPr>
        <w:tab/>
      </w:r>
      <w:r w:rsidRPr="00C74E98">
        <w:t>how long ago the offence was committed; and</w:t>
      </w:r>
    </w:p>
    <w:p w14:paraId="3B5068DA" w14:textId="77777777" w:rsidR="00260D97" w:rsidRDefault="00260D97" w:rsidP="00260D97">
      <w:pPr>
        <w:pStyle w:val="GG-body"/>
        <w:ind w:left="1276" w:hanging="425"/>
      </w:pPr>
      <w:r w:rsidRPr="001B1F25">
        <w:rPr>
          <w:rFonts w:eastAsia="Arial"/>
          <w:color w:val="000000"/>
          <w:u w:color="000000"/>
        </w:rPr>
        <w:t>(iii)</w:t>
      </w:r>
      <w:r w:rsidRPr="001B1F25">
        <w:rPr>
          <w:rFonts w:eastAsia="Arial"/>
          <w:color w:val="000000"/>
          <w:u w:color="000000"/>
        </w:rPr>
        <w:tab/>
      </w:r>
      <w:r w:rsidRPr="00C74E98">
        <w:t>the person</w:t>
      </w:r>
      <w:r>
        <w:t>’</w:t>
      </w:r>
      <w:r w:rsidRPr="00C74E98">
        <w:t>s age when the offence was committed,</w:t>
      </w:r>
    </w:p>
    <w:p w14:paraId="16D33609" w14:textId="77777777" w:rsidR="00260D97" w:rsidRDefault="00260D97" w:rsidP="00260D97">
      <w:pPr>
        <w:pStyle w:val="GG-body"/>
        <w:ind w:left="851" w:hanging="425"/>
      </w:pPr>
      <w:r w:rsidRPr="001B1F25">
        <w:rPr>
          <w:rFonts w:eastAsia="Arial"/>
          <w:color w:val="000000"/>
          <w:u w:color="000000"/>
        </w:rPr>
        <w:t>(</w:t>
      </w:r>
      <w:proofErr w:type="spellStart"/>
      <w:r w:rsidRPr="001B1F25">
        <w:rPr>
          <w:rFonts w:eastAsia="Arial"/>
          <w:color w:val="000000"/>
          <w:u w:color="000000"/>
        </w:rPr>
        <w:t>i</w:t>
      </w:r>
      <w:proofErr w:type="spellEnd"/>
      <w:r w:rsidRPr="001B1F25">
        <w:rPr>
          <w:rFonts w:eastAsia="Arial"/>
          <w:color w:val="000000"/>
          <w:u w:color="000000"/>
        </w:rPr>
        <w:t>)</w:t>
      </w:r>
      <w:r w:rsidRPr="001B1F25">
        <w:rPr>
          <w:rFonts w:eastAsia="Arial"/>
          <w:color w:val="000000"/>
          <w:u w:color="000000"/>
        </w:rPr>
        <w:tab/>
      </w:r>
      <w:r w:rsidRPr="00C74E98">
        <w:t>whether the person has been the subject of any disciplinary action, howsoever expressed, in any profession or occupation in Australia or in a foreign country,</w:t>
      </w:r>
    </w:p>
    <w:p w14:paraId="3FCCABA5" w14:textId="77777777" w:rsidR="00260D97" w:rsidRDefault="00260D97" w:rsidP="00260D97">
      <w:pPr>
        <w:pStyle w:val="GG-body"/>
        <w:ind w:left="851" w:hanging="425"/>
      </w:pPr>
      <w:r w:rsidRPr="001B1F25">
        <w:rPr>
          <w:rFonts w:eastAsia="Arial"/>
          <w:color w:val="000000"/>
          <w:u w:color="000000"/>
        </w:rPr>
        <w:t>(j)</w:t>
      </w:r>
      <w:r w:rsidRPr="001B1F25">
        <w:rPr>
          <w:rFonts w:eastAsia="Arial"/>
          <w:color w:val="000000"/>
          <w:u w:color="000000"/>
        </w:rPr>
        <w:tab/>
      </w:r>
      <w:r w:rsidRPr="00C74E98">
        <w:t>whether the person has been the subject of disciplinary action, howsoever expressed, in another profession or occupation that involved a finding adverse to the person,</w:t>
      </w:r>
    </w:p>
    <w:p w14:paraId="29E1B182" w14:textId="77777777" w:rsidR="00260D97" w:rsidRDefault="00260D97" w:rsidP="00260D97">
      <w:pPr>
        <w:pStyle w:val="GG-body"/>
        <w:ind w:left="851" w:hanging="425"/>
      </w:pPr>
      <w:r w:rsidRPr="001B1F25">
        <w:rPr>
          <w:rFonts w:eastAsia="Arial"/>
          <w:color w:val="000000"/>
          <w:u w:color="000000"/>
        </w:rPr>
        <w:t>(k)</w:t>
      </w:r>
      <w:r w:rsidRPr="001B1F25">
        <w:rPr>
          <w:rFonts w:eastAsia="Arial"/>
          <w:color w:val="000000"/>
          <w:u w:color="000000"/>
        </w:rPr>
        <w:tab/>
      </w:r>
      <w:r w:rsidRPr="00C74E98">
        <w:t>whether the person is currently unable to satisfactorily carry out the inherent requirements of practice as an Australian legal practitioner,</w:t>
      </w:r>
    </w:p>
    <w:p w14:paraId="52639687" w14:textId="77777777" w:rsidR="00260D97" w:rsidRPr="00C74E98" w:rsidRDefault="00260D97" w:rsidP="00260D97">
      <w:pPr>
        <w:pStyle w:val="GG-body"/>
        <w:ind w:left="851" w:hanging="425"/>
      </w:pPr>
      <w:r w:rsidRPr="001B1F25">
        <w:rPr>
          <w:rFonts w:eastAsia="Arial"/>
          <w:color w:val="000000"/>
          <w:u w:color="000000"/>
        </w:rPr>
        <w:t>(l)</w:t>
      </w:r>
      <w:r w:rsidRPr="001B1F25">
        <w:rPr>
          <w:rFonts w:eastAsia="Arial"/>
          <w:color w:val="000000"/>
          <w:u w:color="000000"/>
        </w:rPr>
        <w:tab/>
      </w:r>
      <w:r w:rsidRPr="00C74E98">
        <w:t>whether the person has sufficient knowledge of written and spoken English to engage in legal practice in this jurisdiction.</w:t>
      </w:r>
      <w:r>
        <w:t>”</w:t>
      </w:r>
    </w:p>
    <w:p w14:paraId="51928BC3" w14:textId="77777777" w:rsidR="00260D97" w:rsidRPr="00C74E98" w:rsidRDefault="00260D97" w:rsidP="00260D97">
      <w:pPr>
        <w:pStyle w:val="GG-body"/>
      </w:pPr>
      <w:r w:rsidRPr="00C74E98">
        <w:rPr>
          <w:spacing w:val="-2"/>
        </w:rPr>
        <w:t xml:space="preserve">In accordance with the </w:t>
      </w:r>
      <w:r w:rsidRPr="00C74E98">
        <w:rPr>
          <w:i/>
          <w:spacing w:val="-2"/>
        </w:rPr>
        <w:t xml:space="preserve">Legal Practitioners Act 1981, </w:t>
      </w:r>
      <w:r w:rsidRPr="00C74E98">
        <w:rPr>
          <w:spacing w:val="-2"/>
        </w:rPr>
        <w:t xml:space="preserve">the </w:t>
      </w:r>
      <w:r w:rsidRPr="00C74E98">
        <w:rPr>
          <w:i/>
          <w:iCs/>
          <w:spacing w:val="-2"/>
        </w:rPr>
        <w:t>Legal Practitioners Education and Admission Council Rules Amending Rules 2025</w:t>
      </w:r>
      <w:r w:rsidRPr="00C74E98">
        <w:rPr>
          <w:i/>
          <w:iCs/>
        </w:rPr>
        <w:t xml:space="preserve"> </w:t>
      </w:r>
      <w:r w:rsidRPr="00C74E98">
        <w:t>have been made as rules of the Legal Practitioners Education and Admission Council.</w:t>
      </w:r>
    </w:p>
    <w:p w14:paraId="7E08A60E" w14:textId="77777777" w:rsidR="00260D97" w:rsidRPr="001B1F25" w:rsidRDefault="00260D97" w:rsidP="00260D97">
      <w:pPr>
        <w:pStyle w:val="GG-SDated"/>
        <w:rPr>
          <w:lang w:val="en-GB"/>
        </w:rPr>
      </w:pPr>
      <w:r w:rsidRPr="001B1F25">
        <w:rPr>
          <w:lang w:val="en-GB"/>
        </w:rPr>
        <w:t>Dated this</w:t>
      </w:r>
      <w:r>
        <w:rPr>
          <w:lang w:val="en-GB"/>
        </w:rPr>
        <w:t xml:space="preserve"> 29</w:t>
      </w:r>
      <w:r w:rsidRPr="00EC01C8">
        <w:rPr>
          <w:vertAlign w:val="superscript"/>
          <w:lang w:val="en-GB"/>
        </w:rPr>
        <w:t>th</w:t>
      </w:r>
      <w:r>
        <w:rPr>
          <w:lang w:val="en-GB"/>
        </w:rPr>
        <w:t xml:space="preserve"> </w:t>
      </w:r>
      <w:r w:rsidRPr="001B1F25">
        <w:rPr>
          <w:lang w:val="en-GB"/>
        </w:rPr>
        <w:t>day of January 2025.</w:t>
      </w:r>
    </w:p>
    <w:p w14:paraId="2CD76EB5" w14:textId="77777777" w:rsidR="00260D97" w:rsidRDefault="00260D97" w:rsidP="00260D97">
      <w:pPr>
        <w:pStyle w:val="GG-SName"/>
        <w:rPr>
          <w:szCs w:val="17"/>
        </w:rPr>
      </w:pPr>
      <w:r w:rsidRPr="001B1F25">
        <w:rPr>
          <w:szCs w:val="17"/>
        </w:rPr>
        <w:t xml:space="preserve">Chief Justice </w:t>
      </w:r>
      <w:proofErr w:type="spellStart"/>
      <w:r w:rsidRPr="001B1F25">
        <w:rPr>
          <w:szCs w:val="17"/>
        </w:rPr>
        <w:t>Kourakis</w:t>
      </w:r>
      <w:proofErr w:type="spellEnd"/>
    </w:p>
    <w:p w14:paraId="5FBEE6E6" w14:textId="77777777" w:rsidR="00260D97" w:rsidRDefault="00260D97" w:rsidP="00260D97">
      <w:pPr>
        <w:pStyle w:val="GG-SName"/>
        <w:pBdr>
          <w:bottom w:val="single" w:sz="4" w:space="1" w:color="auto"/>
        </w:pBdr>
        <w:spacing w:line="52" w:lineRule="exact"/>
        <w:jc w:val="center"/>
        <w:rPr>
          <w:szCs w:val="17"/>
        </w:rPr>
      </w:pPr>
    </w:p>
    <w:p w14:paraId="39ACFAE5" w14:textId="77777777" w:rsidR="00260D97" w:rsidRDefault="00260D97" w:rsidP="00260D97">
      <w:pPr>
        <w:pStyle w:val="GG-SName"/>
        <w:pBdr>
          <w:top w:val="single" w:sz="4" w:space="1" w:color="auto"/>
        </w:pBdr>
        <w:spacing w:before="34" w:line="14" w:lineRule="exact"/>
        <w:jc w:val="center"/>
        <w:rPr>
          <w:szCs w:val="17"/>
        </w:rPr>
      </w:pPr>
    </w:p>
    <w:p w14:paraId="3C21E7E7" w14:textId="77777777" w:rsidR="00260D97" w:rsidRPr="001B1F25" w:rsidRDefault="00260D97" w:rsidP="00260D97">
      <w:pPr>
        <w:pStyle w:val="GG-body"/>
      </w:pPr>
    </w:p>
    <w:p w14:paraId="74A8B7D6" w14:textId="77777777" w:rsidR="009D1E2E" w:rsidRDefault="009D1E2E" w:rsidP="005335F1">
      <w:pPr>
        <w:pStyle w:val="GG-body"/>
        <w:rPr>
          <w:lang w:val="en-US"/>
        </w:rPr>
      </w:pPr>
    </w:p>
    <w:p w14:paraId="07A18DC6" w14:textId="77777777" w:rsidR="00D9149F" w:rsidRDefault="00D9149F">
      <w:pPr>
        <w:spacing w:after="0" w:line="240" w:lineRule="auto"/>
        <w:jc w:val="left"/>
        <w:rPr>
          <w:rFonts w:eastAsia="Times New Roman"/>
          <w:szCs w:val="17"/>
          <w:lang w:val="en-US"/>
        </w:rPr>
      </w:pPr>
      <w:r>
        <w:rPr>
          <w:lang w:val="en-US"/>
        </w:rPr>
        <w:br w:type="page"/>
      </w:r>
    </w:p>
    <w:p w14:paraId="5BC89050" w14:textId="77777777" w:rsidR="009D1E2E" w:rsidRPr="009D1E2E" w:rsidRDefault="009D1E2E" w:rsidP="0043001F">
      <w:pPr>
        <w:pStyle w:val="Heading1"/>
      </w:pPr>
      <w:bookmarkStart w:id="50" w:name="_Toc33707982"/>
      <w:bookmarkStart w:id="51" w:name="_Toc33708153"/>
      <w:bookmarkStart w:id="52" w:name="_Toc191542977"/>
      <w:r w:rsidRPr="009D1E2E">
        <w:lastRenderedPageBreak/>
        <w:t>State Government Instruments</w:t>
      </w:r>
      <w:bookmarkEnd w:id="50"/>
      <w:bookmarkEnd w:id="51"/>
      <w:bookmarkEnd w:id="52"/>
    </w:p>
    <w:p w14:paraId="0E5017CB" w14:textId="250E7AE7" w:rsidR="00EC6726" w:rsidRDefault="007004B5" w:rsidP="007004B5">
      <w:pPr>
        <w:pStyle w:val="Heading2"/>
      </w:pPr>
      <w:bookmarkStart w:id="53" w:name="_Toc191542978"/>
      <w:r>
        <w:t>Assisted Reproductive Treatment Act 1988</w:t>
      </w:r>
      <w:bookmarkEnd w:id="53"/>
    </w:p>
    <w:p w14:paraId="31AD7C05" w14:textId="385FBF35" w:rsidR="00EC6726" w:rsidRDefault="007004B5" w:rsidP="007004B5">
      <w:pPr>
        <w:pStyle w:val="Heading2"/>
      </w:pPr>
      <w:bookmarkStart w:id="54" w:name="_Toc191542979"/>
      <w:r>
        <w:t>Legislation Interpretation Act 2021</w:t>
      </w:r>
      <w:bookmarkEnd w:id="54"/>
    </w:p>
    <w:p w14:paraId="677BAB46" w14:textId="77777777" w:rsidR="00EC6726" w:rsidRDefault="00EC6726" w:rsidP="00EC6726">
      <w:pPr>
        <w:pStyle w:val="GG-Title2"/>
      </w:pPr>
      <w:r>
        <w:t>Donor Conception Register</w:t>
      </w:r>
    </w:p>
    <w:p w14:paraId="0E668602" w14:textId="77777777" w:rsidR="00EC6726" w:rsidRDefault="00EC6726" w:rsidP="00EC6726">
      <w:pPr>
        <w:pStyle w:val="GG-Title3"/>
      </w:pPr>
      <w:r>
        <w:t>Authorisation of Entity—Relationships Australia South Australia Limited</w:t>
      </w:r>
    </w:p>
    <w:p w14:paraId="0E2FAB95" w14:textId="77777777" w:rsidR="00EC6726" w:rsidRDefault="00EC6726" w:rsidP="00EC6726">
      <w:pPr>
        <w:pStyle w:val="GG-body"/>
      </w:pPr>
      <w:r>
        <w:t xml:space="preserve">Take note that I, Christopher Picton, MP, Minister for Health and Wellbeing, pursuant to Section 15A of the </w:t>
      </w:r>
      <w:r w:rsidRPr="009F223D">
        <w:rPr>
          <w:i/>
          <w:iCs/>
        </w:rPr>
        <w:t>Assisted Reproductive Treatment Act 1988</w:t>
      </w:r>
      <w:r>
        <w:t xml:space="preserve"> (“the ART Act”) and Section 38 of the </w:t>
      </w:r>
      <w:r w:rsidRPr="009F223D">
        <w:rPr>
          <w:i/>
          <w:iCs/>
        </w:rPr>
        <w:t>Legislation Interpretation Act 2021</w:t>
      </w:r>
      <w:r>
        <w:t>, hereby authorise Relationships Australia South Australia Limited (ABN 19 119 188 500) to do any of the following:</w:t>
      </w:r>
    </w:p>
    <w:p w14:paraId="55D63716" w14:textId="77777777" w:rsidR="00EC6726" w:rsidRPr="00364E12" w:rsidRDefault="00EC6726" w:rsidP="00EC6726">
      <w:pPr>
        <w:pStyle w:val="GG-body"/>
        <w:ind w:left="426" w:hanging="284"/>
        <w:rPr>
          <w:spacing w:val="-2"/>
        </w:rPr>
      </w:pPr>
      <w:r w:rsidRPr="00364E12">
        <w:rPr>
          <w:spacing w:val="-2"/>
        </w:rPr>
        <w:t>a.</w:t>
      </w:r>
      <w:r w:rsidRPr="00364E12">
        <w:rPr>
          <w:spacing w:val="-2"/>
        </w:rPr>
        <w:tab/>
        <w:t xml:space="preserve">to assist the Minister for Health and Wellbeing (“the Minister”) in obtaining any information for the purposes of Part 3 of the ART Act; </w:t>
      </w:r>
    </w:p>
    <w:p w14:paraId="160C3D88" w14:textId="77777777" w:rsidR="00EC6726" w:rsidRDefault="00EC6726" w:rsidP="00EC6726">
      <w:pPr>
        <w:pStyle w:val="GG-body"/>
        <w:ind w:left="426" w:hanging="284"/>
      </w:pPr>
      <w:r>
        <w:t>b.</w:t>
      </w:r>
      <w:r>
        <w:tab/>
        <w:t xml:space="preserve">to </w:t>
      </w:r>
      <w:r w:rsidRPr="00364E12">
        <w:rPr>
          <w:spacing w:val="-2"/>
        </w:rPr>
        <w:t>provide</w:t>
      </w:r>
      <w:r>
        <w:t xml:space="preserve"> counselling or support services; </w:t>
      </w:r>
    </w:p>
    <w:p w14:paraId="6EA14B84" w14:textId="77777777" w:rsidR="00EC6726" w:rsidRDefault="00EC6726" w:rsidP="00EC6726">
      <w:pPr>
        <w:pStyle w:val="GG-body"/>
        <w:ind w:left="426" w:hanging="284"/>
      </w:pPr>
      <w:r>
        <w:t>c.</w:t>
      </w:r>
      <w:r>
        <w:tab/>
        <w:t xml:space="preserve">to facilitate the </w:t>
      </w:r>
      <w:r w:rsidRPr="00364E12">
        <w:rPr>
          <w:spacing w:val="-2"/>
        </w:rPr>
        <w:t>exchange</w:t>
      </w:r>
      <w:r>
        <w:t xml:space="preserve"> of information between, or contact between, donors and other persons involved in donor conception; </w:t>
      </w:r>
    </w:p>
    <w:p w14:paraId="3CDB013D" w14:textId="77777777" w:rsidR="00EC6726" w:rsidRPr="00364E12" w:rsidRDefault="00EC6726" w:rsidP="00EC6726">
      <w:pPr>
        <w:pStyle w:val="GG-body"/>
        <w:ind w:left="426" w:hanging="284"/>
        <w:rPr>
          <w:spacing w:val="-4"/>
        </w:rPr>
      </w:pPr>
      <w:r w:rsidRPr="00364E12">
        <w:rPr>
          <w:spacing w:val="-4"/>
        </w:rPr>
        <w:t>d.</w:t>
      </w:r>
      <w:r w:rsidRPr="00364E12">
        <w:rPr>
          <w:spacing w:val="-4"/>
        </w:rPr>
        <w:tab/>
        <w:t>to provide information and support to persons who have, or are seeking to have, access to information held on the donor conception register.</w:t>
      </w:r>
    </w:p>
    <w:p w14:paraId="38CB456C" w14:textId="77777777" w:rsidR="00EC6726" w:rsidRDefault="00EC6726" w:rsidP="00EC6726">
      <w:pPr>
        <w:pStyle w:val="GG-body"/>
      </w:pPr>
      <w:r>
        <w:t>This authorisation operates from 26 February 2025, and continues until 30 June 2027, or until earlier revoked.</w:t>
      </w:r>
    </w:p>
    <w:p w14:paraId="693305EA" w14:textId="77777777" w:rsidR="00EC6726" w:rsidRDefault="00EC6726" w:rsidP="00EC6726">
      <w:pPr>
        <w:pStyle w:val="GG-body"/>
      </w:pPr>
      <w:r>
        <w:t>Dated: 25 February 2025</w:t>
      </w:r>
    </w:p>
    <w:p w14:paraId="6576DF5C" w14:textId="77777777" w:rsidR="00EC6726" w:rsidRDefault="00EC6726" w:rsidP="00EC6726">
      <w:pPr>
        <w:pStyle w:val="GG-SName"/>
      </w:pPr>
      <w:r>
        <w:t>Hon Christopher Picton MP</w:t>
      </w:r>
    </w:p>
    <w:p w14:paraId="1C63C835" w14:textId="77777777" w:rsidR="00EC6726" w:rsidRDefault="00EC6726" w:rsidP="00EC6726">
      <w:pPr>
        <w:pStyle w:val="GG-Signature"/>
      </w:pPr>
      <w:r>
        <w:t>Minister for Health and Wellbeing</w:t>
      </w:r>
    </w:p>
    <w:p w14:paraId="43705000" w14:textId="77777777" w:rsidR="00EC6726" w:rsidRDefault="00EC6726" w:rsidP="00EC6726">
      <w:pPr>
        <w:pStyle w:val="GG-Signature"/>
        <w:pBdr>
          <w:bottom w:val="single" w:sz="4" w:space="1" w:color="auto"/>
        </w:pBdr>
        <w:spacing w:line="52" w:lineRule="exact"/>
        <w:jc w:val="center"/>
      </w:pPr>
    </w:p>
    <w:p w14:paraId="665DC27D" w14:textId="77777777" w:rsidR="00EC6726" w:rsidRDefault="00EC6726" w:rsidP="00EC6726">
      <w:pPr>
        <w:pStyle w:val="GG-Signature"/>
        <w:pBdr>
          <w:top w:val="single" w:sz="4" w:space="1" w:color="auto"/>
        </w:pBdr>
        <w:spacing w:before="34" w:line="14" w:lineRule="exact"/>
        <w:jc w:val="center"/>
      </w:pPr>
    </w:p>
    <w:p w14:paraId="00058811" w14:textId="77777777" w:rsidR="00EC6726" w:rsidRDefault="00EC6726" w:rsidP="00EC6726">
      <w:pPr>
        <w:pStyle w:val="NoSpacing"/>
      </w:pPr>
    </w:p>
    <w:p w14:paraId="1FD72E9D" w14:textId="27F91EA4" w:rsidR="00EC6726" w:rsidRDefault="007004B5" w:rsidP="007004B5">
      <w:pPr>
        <w:pStyle w:val="Heading2"/>
      </w:pPr>
      <w:bookmarkStart w:id="55" w:name="_Toc191542980"/>
      <w:r>
        <w:t>Boxing and Martial Arts Act 2000</w:t>
      </w:r>
      <w:bookmarkEnd w:id="55"/>
    </w:p>
    <w:p w14:paraId="1D24062B" w14:textId="77777777" w:rsidR="00EC6726" w:rsidRDefault="00EC6726" w:rsidP="00EC6726">
      <w:pPr>
        <w:pStyle w:val="GG-Title3"/>
      </w:pPr>
      <w:r>
        <w:t xml:space="preserve">Notice of Rules </w:t>
      </w:r>
    </w:p>
    <w:p w14:paraId="0A0D5DE4" w14:textId="77777777" w:rsidR="00EC6726" w:rsidRDefault="00EC6726" w:rsidP="00EC6726">
      <w:pPr>
        <w:pStyle w:val="GG-body"/>
      </w:pPr>
      <w:r>
        <w:t xml:space="preserve">Take notice that pursuant to Section 10 of the </w:t>
      </w:r>
      <w:r w:rsidRPr="00E024C8">
        <w:rPr>
          <w:i/>
          <w:iCs/>
        </w:rPr>
        <w:t>Boxing and Martial Arts Act 2000</w:t>
      </w:r>
      <w:r>
        <w:t xml:space="preserve">, I Kylie Taylor, Chief Executive of the Office for Recreation, Sport and Racing, as delegate for the Minister for Recreation, Sport and Racing to whom the administration of the </w:t>
      </w:r>
      <w:r w:rsidRPr="00E024C8">
        <w:rPr>
          <w:i/>
          <w:iCs/>
        </w:rPr>
        <w:t>Boxing and Martial Arts Act 2000</w:t>
      </w:r>
      <w:r>
        <w:t xml:space="preserve"> is committed, have approved the rules applicable to the conduct of boxing and martial arts events to commence operation on this date of publication.</w:t>
      </w:r>
    </w:p>
    <w:p w14:paraId="3DD7A522" w14:textId="77777777" w:rsidR="00EC6726" w:rsidRDefault="00EC6726" w:rsidP="00EC6726">
      <w:pPr>
        <w:pStyle w:val="GG-body"/>
      </w:pPr>
      <w:r>
        <w:t>The approved rules are set out below.</w:t>
      </w:r>
    </w:p>
    <w:p w14:paraId="14E6D0C3" w14:textId="77777777" w:rsidR="00EC6726" w:rsidRDefault="00EC6726" w:rsidP="00EC6726">
      <w:pPr>
        <w:pStyle w:val="GG-SDated"/>
      </w:pPr>
      <w:r>
        <w:t>Dated: 27 February 2025</w:t>
      </w:r>
    </w:p>
    <w:p w14:paraId="75E38049" w14:textId="77777777" w:rsidR="00EC6726" w:rsidRDefault="00EC6726" w:rsidP="00EC6726">
      <w:pPr>
        <w:pStyle w:val="GG-SName"/>
      </w:pPr>
      <w:r>
        <w:t>Kylie Taylor</w:t>
      </w:r>
    </w:p>
    <w:p w14:paraId="33BD5A3F" w14:textId="77777777" w:rsidR="00EC6726" w:rsidRDefault="00EC6726" w:rsidP="00EC6726">
      <w:pPr>
        <w:pStyle w:val="GG-Signature"/>
      </w:pPr>
      <w:r>
        <w:t>Chief Executive, Office for Recreation, Sport and Racing</w:t>
      </w:r>
    </w:p>
    <w:p w14:paraId="023BE1C1" w14:textId="77777777" w:rsidR="00EC6726" w:rsidRDefault="00EC6726" w:rsidP="00EC6726">
      <w:pPr>
        <w:pStyle w:val="GG-Signature"/>
      </w:pPr>
      <w:r>
        <w:t>as delegate for the Minister for Recreation, Sport and Racing</w:t>
      </w:r>
    </w:p>
    <w:p w14:paraId="4E506BCD" w14:textId="77777777" w:rsidR="00EC6726" w:rsidRPr="00854ECB" w:rsidRDefault="00EC6726" w:rsidP="00EC6726">
      <w:pPr>
        <w:pStyle w:val="GG-Signature"/>
        <w:pBdr>
          <w:top w:val="single" w:sz="4" w:space="1" w:color="auto"/>
        </w:pBdr>
        <w:spacing w:before="100" w:after="80" w:line="14" w:lineRule="exact"/>
        <w:ind w:left="1080" w:right="1080"/>
        <w:jc w:val="center"/>
      </w:pPr>
    </w:p>
    <w:p w14:paraId="7E446446" w14:textId="77777777" w:rsidR="00EC6726" w:rsidRPr="0007494C" w:rsidRDefault="00EC6726" w:rsidP="009C3E3A">
      <w:r>
        <w:t>World Boxing Council Muay Thai Rules and Regulations—</w:t>
      </w:r>
      <w:hyperlink r:id="rId19" w:history="1">
        <w:r w:rsidRPr="00914E61">
          <w:rPr>
            <w:rStyle w:val="Hyperlink"/>
          </w:rPr>
          <w:t>https://www.orsr.sa.gov.au/clubs-and-associations/boxing-and-martial-arts</w:t>
        </w:r>
      </w:hyperlink>
    </w:p>
    <w:p w14:paraId="20C7C93E" w14:textId="77777777" w:rsidR="00EC6726" w:rsidRDefault="00EC6726" w:rsidP="00EC6726">
      <w:pPr>
        <w:pStyle w:val="GG-Signature"/>
        <w:pBdr>
          <w:top w:val="single" w:sz="4" w:space="1" w:color="auto"/>
        </w:pBdr>
        <w:spacing w:before="100" w:line="14" w:lineRule="exact"/>
        <w:jc w:val="center"/>
      </w:pPr>
    </w:p>
    <w:p w14:paraId="2B801416" w14:textId="77777777" w:rsidR="00EC6726" w:rsidRPr="007D2F27" w:rsidRDefault="00EC6726" w:rsidP="00EC6726">
      <w:pPr>
        <w:pStyle w:val="NoSpacing"/>
      </w:pPr>
    </w:p>
    <w:p w14:paraId="416F85AC" w14:textId="77777777" w:rsidR="00EC6726" w:rsidRDefault="00EC6726" w:rsidP="00EC6726">
      <w:pPr>
        <w:pStyle w:val="GG-Title1"/>
      </w:pPr>
      <w:r>
        <w:t>BOXING AND MARTIAL ARTS ACT 2000</w:t>
      </w:r>
    </w:p>
    <w:p w14:paraId="6E67ED46" w14:textId="77777777" w:rsidR="00EC6726" w:rsidRDefault="00EC6726" w:rsidP="00EC6726">
      <w:pPr>
        <w:pStyle w:val="GG-Title3"/>
      </w:pPr>
      <w:r>
        <w:t>Revocation of Rules</w:t>
      </w:r>
    </w:p>
    <w:p w14:paraId="240695CF" w14:textId="2E5BEDE8" w:rsidR="00EC6726" w:rsidRDefault="00EC6726" w:rsidP="00EC6726">
      <w:r>
        <w:t xml:space="preserve">Take notice that pursuant to Section 10 of the </w:t>
      </w:r>
      <w:r w:rsidRPr="007A0D4F">
        <w:rPr>
          <w:i/>
          <w:iCs/>
        </w:rPr>
        <w:t>Boxing and Martial Arts Act 2000</w:t>
      </w:r>
      <w:r>
        <w:t xml:space="preserve">, I Kylie Taylor, Chief Executive of the Office for Recreation, Sport and Racing, as delegate for the Minister for Recreation, Sport and Racing to whom the administration of the </w:t>
      </w:r>
      <w:r w:rsidRPr="007A0D4F">
        <w:rPr>
          <w:i/>
          <w:iCs/>
        </w:rPr>
        <w:t>Boxing and Martial Arts Act 2000</w:t>
      </w:r>
      <w:r>
        <w:t xml:space="preserve"> is committed, have revoked the </w:t>
      </w:r>
      <w:r w:rsidR="00D4568B">
        <w:t>r</w:t>
      </w:r>
      <w:r>
        <w:t xml:space="preserve">ules applicable to the conduct of boxing events to cease operation on this date </w:t>
      </w:r>
      <w:r>
        <w:br/>
        <w:t>of publication.</w:t>
      </w:r>
    </w:p>
    <w:p w14:paraId="2BADF7F3" w14:textId="24904B15" w:rsidR="00EC6726" w:rsidRDefault="00EC6726" w:rsidP="00EC6726">
      <w:r>
        <w:t xml:space="preserve">The revoked </w:t>
      </w:r>
      <w:r w:rsidR="00D4568B">
        <w:t>r</w:t>
      </w:r>
      <w:r>
        <w:t>ules are set out below.</w:t>
      </w:r>
    </w:p>
    <w:p w14:paraId="4C0DDF45" w14:textId="77777777" w:rsidR="00EC6726" w:rsidRDefault="00EC6726" w:rsidP="00EC6726">
      <w:pPr>
        <w:pStyle w:val="GG-SDated"/>
      </w:pPr>
      <w:r>
        <w:t>Dated: 27 February 2025</w:t>
      </w:r>
    </w:p>
    <w:p w14:paraId="4B3B4A89" w14:textId="77777777" w:rsidR="00EC6726" w:rsidRDefault="00EC6726" w:rsidP="00EC6726">
      <w:pPr>
        <w:pStyle w:val="GG-SName"/>
      </w:pPr>
      <w:r>
        <w:t>Kylie Taylor</w:t>
      </w:r>
    </w:p>
    <w:p w14:paraId="3CA735E6" w14:textId="77777777" w:rsidR="00EC6726" w:rsidRDefault="00EC6726" w:rsidP="00EC6726">
      <w:pPr>
        <w:pStyle w:val="GG-Signature"/>
      </w:pPr>
      <w:r>
        <w:t>Chief Executive, Office for Recreation, Sport and Racing</w:t>
      </w:r>
    </w:p>
    <w:p w14:paraId="75CB8102" w14:textId="77777777" w:rsidR="00EC6726" w:rsidRDefault="00EC6726" w:rsidP="00EC6726">
      <w:pPr>
        <w:pStyle w:val="GG-Signature"/>
      </w:pPr>
      <w:r>
        <w:t>as delegate for the Minister for Recreation, Sport and Racing</w:t>
      </w:r>
    </w:p>
    <w:p w14:paraId="1B211C5F" w14:textId="77777777" w:rsidR="00EC6726" w:rsidRDefault="00EC6726" w:rsidP="00EC6726">
      <w:pPr>
        <w:pStyle w:val="GG-Signature"/>
        <w:pBdr>
          <w:top w:val="single" w:sz="4" w:space="1" w:color="auto"/>
        </w:pBdr>
        <w:spacing w:before="100" w:after="80" w:line="14" w:lineRule="exact"/>
        <w:ind w:left="1080" w:right="1080"/>
        <w:jc w:val="center"/>
      </w:pPr>
    </w:p>
    <w:p w14:paraId="604A18B0" w14:textId="77777777" w:rsidR="00EC6726" w:rsidRDefault="00EC6726" w:rsidP="00EC6726">
      <w:r>
        <w:t>Boxing Australia Rules approved 14 June 2022</w:t>
      </w:r>
    </w:p>
    <w:p w14:paraId="15A21046" w14:textId="77777777" w:rsidR="00EC6726" w:rsidRDefault="00EC6726" w:rsidP="00EC6726">
      <w:pPr>
        <w:pBdr>
          <w:top w:val="single" w:sz="4" w:space="1" w:color="auto"/>
        </w:pBdr>
        <w:spacing w:before="100" w:after="0" w:line="14" w:lineRule="exact"/>
        <w:jc w:val="center"/>
      </w:pPr>
    </w:p>
    <w:p w14:paraId="05571C55" w14:textId="77777777" w:rsidR="00EC6726" w:rsidRDefault="00EC6726" w:rsidP="00EC6726">
      <w:pPr>
        <w:spacing w:after="0"/>
      </w:pPr>
    </w:p>
    <w:p w14:paraId="79E6A69E" w14:textId="77777777" w:rsidR="00EC6726" w:rsidRDefault="00EC6726" w:rsidP="00EC6726">
      <w:pPr>
        <w:pStyle w:val="GG-Title1"/>
      </w:pPr>
      <w:r>
        <w:t>BOXING AND MARTIAL ARTS ACT 2000</w:t>
      </w:r>
    </w:p>
    <w:p w14:paraId="2092EF04" w14:textId="77777777" w:rsidR="00EC6726" w:rsidRDefault="00EC6726" w:rsidP="00EC6726">
      <w:pPr>
        <w:pStyle w:val="GG-Title3"/>
      </w:pPr>
      <w:r>
        <w:t>Notice of Rules</w:t>
      </w:r>
    </w:p>
    <w:p w14:paraId="3FE82A6B" w14:textId="7D64A1F3" w:rsidR="00EC6726" w:rsidRDefault="00EC6726" w:rsidP="00EC6726">
      <w:r>
        <w:t xml:space="preserve">Take notice that pursuant to Section 10 of the </w:t>
      </w:r>
      <w:r w:rsidRPr="00D402E3">
        <w:rPr>
          <w:i/>
          <w:iCs/>
        </w:rPr>
        <w:t>Boxing and Martial Arts Act 2000</w:t>
      </w:r>
      <w:r>
        <w:t xml:space="preserve">, I Kylie Taylor, Chief Executive of the Office for Recreation, Sport and Racing, as delegate for the Minister for Recreation, Sport and Racing to whom the administration of the </w:t>
      </w:r>
      <w:r w:rsidRPr="00D402E3">
        <w:rPr>
          <w:i/>
          <w:iCs/>
        </w:rPr>
        <w:t>Boxing and Martial Arts Act 2000</w:t>
      </w:r>
      <w:r>
        <w:t xml:space="preserve"> is committed, have approved the </w:t>
      </w:r>
      <w:r w:rsidR="00D4568B">
        <w:t>r</w:t>
      </w:r>
      <w:r>
        <w:t>ules applicable to the conduct of boxing events to commence operation on this date of publication.</w:t>
      </w:r>
    </w:p>
    <w:p w14:paraId="48B02D07" w14:textId="2E581ABF" w:rsidR="00EC6726" w:rsidRDefault="00EC6726" w:rsidP="00EC6726">
      <w:r>
        <w:t xml:space="preserve">The approved </w:t>
      </w:r>
      <w:r w:rsidR="00D4568B">
        <w:t>r</w:t>
      </w:r>
      <w:r>
        <w:t>ules are set out below.</w:t>
      </w:r>
    </w:p>
    <w:p w14:paraId="29BC3D6F" w14:textId="77777777" w:rsidR="00EC6726" w:rsidRDefault="00EC6726" w:rsidP="00EC6726">
      <w:pPr>
        <w:pStyle w:val="GG-SDated"/>
      </w:pPr>
      <w:r>
        <w:t>Dated: 27 February 2025</w:t>
      </w:r>
    </w:p>
    <w:p w14:paraId="358DA7A3" w14:textId="77777777" w:rsidR="00EC6726" w:rsidRDefault="00EC6726" w:rsidP="00EC6726">
      <w:pPr>
        <w:pStyle w:val="GG-SName"/>
      </w:pPr>
      <w:r>
        <w:t>Kylie Taylor</w:t>
      </w:r>
    </w:p>
    <w:p w14:paraId="1664E9AA" w14:textId="77777777" w:rsidR="00EC6726" w:rsidRDefault="00EC6726" w:rsidP="00EC6726">
      <w:pPr>
        <w:pStyle w:val="GG-Signature"/>
      </w:pPr>
      <w:r>
        <w:t>Chief Executive, Office for Recreation, Sport and Racing</w:t>
      </w:r>
    </w:p>
    <w:p w14:paraId="3864E33E" w14:textId="77777777" w:rsidR="00EC6726" w:rsidRDefault="00EC6726" w:rsidP="00EC6726">
      <w:pPr>
        <w:pStyle w:val="GG-Signature"/>
      </w:pPr>
      <w:r>
        <w:t>as delegate for the Minister for Recreation, Sport and Racing</w:t>
      </w:r>
    </w:p>
    <w:p w14:paraId="116E9C1D" w14:textId="77777777" w:rsidR="00EC6726" w:rsidRDefault="00EC6726" w:rsidP="00EC6726">
      <w:pPr>
        <w:pStyle w:val="GG-Signature"/>
        <w:pBdr>
          <w:top w:val="single" w:sz="4" w:space="1" w:color="auto"/>
        </w:pBdr>
        <w:spacing w:before="100" w:after="80" w:line="14" w:lineRule="exact"/>
        <w:ind w:left="1080" w:right="1080"/>
        <w:jc w:val="center"/>
      </w:pPr>
    </w:p>
    <w:p w14:paraId="5B67CF2A" w14:textId="77777777" w:rsidR="00EC6726" w:rsidRDefault="00EC6726" w:rsidP="00EC6726">
      <w:r>
        <w:t>Boxing Australia Competition Rules 22 January 2025—</w:t>
      </w:r>
      <w:hyperlink r:id="rId20" w:history="1">
        <w:r w:rsidRPr="00DE53CF">
          <w:rPr>
            <w:rStyle w:val="Hyperlink"/>
            <w:szCs w:val="17"/>
          </w:rPr>
          <w:t>https://www.orsr.sa.gov.au/clubs-and-associations/boxing-and-martial-arts</w:t>
        </w:r>
      </w:hyperlink>
    </w:p>
    <w:p w14:paraId="3E32CF69" w14:textId="77777777" w:rsidR="00EC6726" w:rsidRDefault="00EC6726" w:rsidP="00EC6726">
      <w:pPr>
        <w:pBdr>
          <w:bottom w:val="single" w:sz="4" w:space="1" w:color="auto"/>
        </w:pBdr>
        <w:spacing w:after="0" w:line="52" w:lineRule="exact"/>
        <w:jc w:val="center"/>
      </w:pPr>
    </w:p>
    <w:p w14:paraId="7BD1E412" w14:textId="77777777" w:rsidR="00EC6726" w:rsidRDefault="00EC6726" w:rsidP="00EC6726">
      <w:pPr>
        <w:pBdr>
          <w:top w:val="single" w:sz="4" w:space="1" w:color="auto"/>
        </w:pBdr>
        <w:spacing w:before="34" w:after="0" w:line="14" w:lineRule="exact"/>
        <w:jc w:val="center"/>
      </w:pPr>
    </w:p>
    <w:p w14:paraId="0B946DC7" w14:textId="04FFCF48" w:rsidR="00EC6726" w:rsidRDefault="00EC6726">
      <w:pPr>
        <w:spacing w:after="0" w:line="240" w:lineRule="auto"/>
        <w:jc w:val="left"/>
      </w:pPr>
      <w:r>
        <w:br w:type="page"/>
      </w:r>
    </w:p>
    <w:p w14:paraId="291EA611" w14:textId="35C7CB24" w:rsidR="00EC6726" w:rsidRDefault="007004B5" w:rsidP="007004B5">
      <w:pPr>
        <w:pStyle w:val="Heading2"/>
      </w:pPr>
      <w:bookmarkStart w:id="56" w:name="_Toc191542981"/>
      <w:r w:rsidRPr="002A2FA8">
        <w:lastRenderedPageBreak/>
        <w:t>First Nations Voice Act 2023</w:t>
      </w:r>
      <w:bookmarkEnd w:id="56"/>
    </w:p>
    <w:p w14:paraId="17D5B1FF" w14:textId="77777777" w:rsidR="00EC6726" w:rsidRDefault="00EC6726" w:rsidP="00EC6726">
      <w:pPr>
        <w:pStyle w:val="GG-Title2"/>
      </w:pPr>
      <w:r>
        <w:t>Supplementary Election</w:t>
      </w:r>
    </w:p>
    <w:p w14:paraId="7C1A329D" w14:textId="77777777" w:rsidR="00EC6726" w:rsidRDefault="00EC6726" w:rsidP="00EC6726">
      <w:pPr>
        <w:pStyle w:val="GG-Title3"/>
      </w:pPr>
      <w:r>
        <w:t>Candidates for 2025 South Australian First Nations Local Voice to Parliament</w:t>
      </w:r>
    </w:p>
    <w:p w14:paraId="1414ACF8" w14:textId="77777777" w:rsidR="00EC6726" w:rsidRPr="004F03B6" w:rsidRDefault="00EC6726" w:rsidP="00EC6726">
      <w:pPr>
        <w:pStyle w:val="GG-body"/>
        <w:rPr>
          <w:b/>
          <w:bCs/>
        </w:rPr>
      </w:pPr>
      <w:r w:rsidRPr="004F03B6">
        <w:rPr>
          <w:b/>
          <w:bCs/>
        </w:rPr>
        <w:t xml:space="preserve">Region 1: </w:t>
      </w:r>
      <w:proofErr w:type="spellStart"/>
      <w:r w:rsidRPr="004F03B6">
        <w:rPr>
          <w:b/>
          <w:bCs/>
        </w:rPr>
        <w:t>Kumangka</w:t>
      </w:r>
      <w:proofErr w:type="spellEnd"/>
      <w:r w:rsidRPr="004F03B6">
        <w:rPr>
          <w:b/>
          <w:bCs/>
        </w:rPr>
        <w:t xml:space="preserve"> </w:t>
      </w:r>
      <w:proofErr w:type="spellStart"/>
      <w:r w:rsidRPr="004F03B6">
        <w:rPr>
          <w:b/>
          <w:bCs/>
        </w:rPr>
        <w:t>Warrarna</w:t>
      </w:r>
      <w:proofErr w:type="spellEnd"/>
      <w:r w:rsidRPr="004F03B6">
        <w:rPr>
          <w:b/>
          <w:bCs/>
        </w:rPr>
        <w:t xml:space="preserve"> </w:t>
      </w:r>
      <w:proofErr w:type="spellStart"/>
      <w:r w:rsidRPr="004F03B6">
        <w:rPr>
          <w:b/>
          <w:bCs/>
        </w:rPr>
        <w:t>Wangkanthi</w:t>
      </w:r>
      <w:proofErr w:type="spellEnd"/>
      <w:r w:rsidRPr="004F03B6">
        <w:rPr>
          <w:b/>
          <w:bCs/>
        </w:rPr>
        <w:t xml:space="preserve"> (Central) and Region 4: </w:t>
      </w:r>
      <w:proofErr w:type="spellStart"/>
      <w:r w:rsidRPr="004F03B6">
        <w:rPr>
          <w:b/>
          <w:bCs/>
        </w:rPr>
        <w:t>Murraylands</w:t>
      </w:r>
      <w:proofErr w:type="spellEnd"/>
      <w:r w:rsidRPr="004F03B6">
        <w:rPr>
          <w:b/>
          <w:bCs/>
        </w:rPr>
        <w:t>, Riverland and South East</w:t>
      </w:r>
    </w:p>
    <w:p w14:paraId="783C6A5A" w14:textId="77777777" w:rsidR="00EC6726" w:rsidRDefault="00EC6726" w:rsidP="00EC6726">
      <w:pPr>
        <w:pStyle w:val="GG-body"/>
      </w:pPr>
      <w:r>
        <w:t>At the declaration of nominations at 12 noon, Monday 24 February 2025, the following people have been accepted as candidates. They are listed below in the region they are standing in and in the order which they will appear on the ballot paper.</w:t>
      </w:r>
    </w:p>
    <w:p w14:paraId="40C8EABE" w14:textId="77777777" w:rsidR="00EC6726" w:rsidRPr="004F03B6" w:rsidRDefault="00EC6726" w:rsidP="00EC6726">
      <w:pPr>
        <w:pStyle w:val="GG-body"/>
        <w:rPr>
          <w:b/>
          <w:bCs/>
        </w:rPr>
      </w:pPr>
      <w:r w:rsidRPr="004F03B6">
        <w:rPr>
          <w:b/>
          <w:bCs/>
        </w:rPr>
        <w:t xml:space="preserve">Region 1: </w:t>
      </w:r>
      <w:proofErr w:type="spellStart"/>
      <w:r w:rsidRPr="004F03B6">
        <w:rPr>
          <w:b/>
          <w:bCs/>
        </w:rPr>
        <w:t>Kumangka</w:t>
      </w:r>
      <w:proofErr w:type="spellEnd"/>
      <w:r w:rsidRPr="004F03B6">
        <w:rPr>
          <w:b/>
          <w:bCs/>
        </w:rPr>
        <w:t xml:space="preserve"> </w:t>
      </w:r>
      <w:proofErr w:type="spellStart"/>
      <w:r w:rsidRPr="004F03B6">
        <w:rPr>
          <w:b/>
          <w:bCs/>
        </w:rPr>
        <w:t>Warrarna</w:t>
      </w:r>
      <w:proofErr w:type="spellEnd"/>
      <w:r w:rsidRPr="004F03B6">
        <w:rPr>
          <w:b/>
          <w:bCs/>
        </w:rPr>
        <w:t xml:space="preserve"> </w:t>
      </w:r>
      <w:proofErr w:type="spellStart"/>
      <w:r w:rsidRPr="004F03B6">
        <w:rPr>
          <w:b/>
          <w:bCs/>
        </w:rPr>
        <w:t>Wangkanthi</w:t>
      </w:r>
      <w:proofErr w:type="spellEnd"/>
      <w:r w:rsidRPr="004F03B6">
        <w:rPr>
          <w:b/>
          <w:bCs/>
        </w:rPr>
        <w:t xml:space="preserve"> (Central)</w:t>
      </w:r>
    </w:p>
    <w:p w14:paraId="76E25229" w14:textId="77777777" w:rsidR="00EC6726" w:rsidRDefault="00EC6726" w:rsidP="00EC6726">
      <w:pPr>
        <w:pStyle w:val="GG-body"/>
        <w:spacing w:after="40"/>
        <w:ind w:left="284" w:hanging="142"/>
      </w:pPr>
      <w:r>
        <w:t>•</w:t>
      </w:r>
      <w:r>
        <w:tab/>
        <w:t>COULTHARD, Dwayne</w:t>
      </w:r>
    </w:p>
    <w:p w14:paraId="6376F89C" w14:textId="77777777" w:rsidR="00EC6726" w:rsidRDefault="00EC6726" w:rsidP="00EC6726">
      <w:pPr>
        <w:pStyle w:val="GG-body"/>
        <w:spacing w:after="40"/>
        <w:ind w:left="284" w:hanging="142"/>
      </w:pPr>
      <w:r>
        <w:t>•</w:t>
      </w:r>
      <w:r>
        <w:tab/>
        <w:t>O’MEARA, Marnie</w:t>
      </w:r>
    </w:p>
    <w:p w14:paraId="662C737A" w14:textId="77777777" w:rsidR="00EC6726" w:rsidRDefault="00EC6726" w:rsidP="00EC6726">
      <w:pPr>
        <w:pStyle w:val="GG-body"/>
        <w:ind w:left="284" w:hanging="142"/>
      </w:pPr>
      <w:r>
        <w:t>•</w:t>
      </w:r>
      <w:r>
        <w:tab/>
        <w:t>O’BRIEN, Trevor</w:t>
      </w:r>
    </w:p>
    <w:p w14:paraId="5257045C" w14:textId="77777777" w:rsidR="00EC6726" w:rsidRPr="004F03B6" w:rsidRDefault="00EC6726" w:rsidP="00EC6726">
      <w:pPr>
        <w:pStyle w:val="GG-body"/>
        <w:rPr>
          <w:b/>
          <w:bCs/>
        </w:rPr>
      </w:pPr>
      <w:r w:rsidRPr="004F03B6">
        <w:rPr>
          <w:b/>
          <w:bCs/>
        </w:rPr>
        <w:t xml:space="preserve">Region 4: </w:t>
      </w:r>
      <w:proofErr w:type="spellStart"/>
      <w:r w:rsidRPr="004F03B6">
        <w:rPr>
          <w:b/>
          <w:bCs/>
        </w:rPr>
        <w:t>Murraylands</w:t>
      </w:r>
      <w:proofErr w:type="spellEnd"/>
      <w:r w:rsidRPr="004F03B6">
        <w:rPr>
          <w:b/>
          <w:bCs/>
        </w:rPr>
        <w:t>, Riverland and South East</w:t>
      </w:r>
    </w:p>
    <w:p w14:paraId="6F4F0C9E" w14:textId="77777777" w:rsidR="00EC6726" w:rsidRDefault="00EC6726" w:rsidP="00EC6726">
      <w:pPr>
        <w:pStyle w:val="GG-body"/>
      </w:pPr>
      <w:r>
        <w:t>The number of accepted candidates was not more than the number of vacancies and the following person was declared elected.</w:t>
      </w:r>
    </w:p>
    <w:p w14:paraId="46A40960" w14:textId="77777777" w:rsidR="00EC6726" w:rsidRDefault="00EC6726" w:rsidP="00EC6726">
      <w:pPr>
        <w:pStyle w:val="GG-body"/>
        <w:spacing w:after="40"/>
        <w:ind w:left="284" w:hanging="142"/>
      </w:pPr>
      <w:r>
        <w:t>•</w:t>
      </w:r>
      <w:r>
        <w:tab/>
        <w:t>MITCHELL-MATTHEWS, Dan</w:t>
      </w:r>
    </w:p>
    <w:p w14:paraId="1E088B02" w14:textId="77777777" w:rsidR="00EC6726" w:rsidRPr="003D4C75" w:rsidRDefault="00EC6726" w:rsidP="00EC6726">
      <w:pPr>
        <w:pStyle w:val="GG-SDated"/>
      </w:pPr>
      <w:r>
        <w:t>Dated: 24 February 2025</w:t>
      </w:r>
    </w:p>
    <w:p w14:paraId="48C98B1E" w14:textId="77777777" w:rsidR="00EC6726" w:rsidRDefault="00EC6726" w:rsidP="00EC6726">
      <w:pPr>
        <w:pStyle w:val="GG-SName"/>
      </w:pPr>
      <w:r>
        <w:t>Mick Sherry</w:t>
      </w:r>
    </w:p>
    <w:p w14:paraId="76EACAFF" w14:textId="77777777" w:rsidR="00EC6726" w:rsidRDefault="00EC6726" w:rsidP="00EC6726">
      <w:pPr>
        <w:pStyle w:val="GG-Signature"/>
      </w:pPr>
      <w:r>
        <w:t>Returning Officer</w:t>
      </w:r>
    </w:p>
    <w:p w14:paraId="6B8D281A" w14:textId="77777777" w:rsidR="00EC6726" w:rsidRDefault="00EC6726" w:rsidP="00EC6726">
      <w:pPr>
        <w:pStyle w:val="GG-Signature"/>
        <w:pBdr>
          <w:bottom w:val="single" w:sz="4" w:space="1" w:color="auto"/>
        </w:pBdr>
        <w:spacing w:line="52" w:lineRule="exact"/>
        <w:jc w:val="center"/>
      </w:pPr>
    </w:p>
    <w:p w14:paraId="72FC671D" w14:textId="77777777" w:rsidR="00EC6726" w:rsidRDefault="00EC6726" w:rsidP="00EC6726">
      <w:pPr>
        <w:pStyle w:val="GG-Signature"/>
        <w:pBdr>
          <w:top w:val="single" w:sz="4" w:space="1" w:color="auto"/>
        </w:pBdr>
        <w:spacing w:before="34" w:line="14" w:lineRule="exact"/>
        <w:jc w:val="center"/>
      </w:pPr>
    </w:p>
    <w:p w14:paraId="7CDD9A0E" w14:textId="77777777" w:rsidR="00EC6726" w:rsidRDefault="00EC6726" w:rsidP="00EC6726">
      <w:pPr>
        <w:pStyle w:val="NoSpacing"/>
      </w:pPr>
    </w:p>
    <w:p w14:paraId="2252FE6F" w14:textId="7460D0EB" w:rsidR="00EC6726" w:rsidRDefault="007004B5" w:rsidP="007004B5">
      <w:pPr>
        <w:pStyle w:val="Heading2"/>
      </w:pPr>
      <w:bookmarkStart w:id="57" w:name="_Toc191542982"/>
      <w:r>
        <w:t>Fisheries Management (Prawn Fisheries) Regulations 2017</w:t>
      </w:r>
      <w:bookmarkEnd w:id="57"/>
    </w:p>
    <w:p w14:paraId="64F7ACE2" w14:textId="77777777" w:rsidR="00EC6726" w:rsidRDefault="00EC6726" w:rsidP="00EC6726">
      <w:pPr>
        <w:pStyle w:val="GG-Title3"/>
      </w:pPr>
      <w:r>
        <w:t>Temporary Prohibition on Fishing Activities in the Gulf St Vincent Prawn Fishery</w:t>
      </w:r>
    </w:p>
    <w:p w14:paraId="0CB03BA9" w14:textId="77777777" w:rsidR="00EC6726" w:rsidRDefault="00EC6726" w:rsidP="00EC6726">
      <w:pPr>
        <w:pStyle w:val="GG-body"/>
      </w:pPr>
      <w:r>
        <w:t xml:space="preserve">Take notice that pursuant to Regulation 10 of the </w:t>
      </w:r>
      <w:r w:rsidRPr="008D5F39">
        <w:rPr>
          <w:i/>
          <w:iCs/>
        </w:rPr>
        <w:t>Fisheries Management (Prawn Fisheries) Regulations 2017</w:t>
      </w:r>
      <w:r>
        <w:t>, the activities of the class specified in Schedule 1 are prohibited in the waters of the Gulf St Vincent Prawn Fishery during the period specified in Schedule 2 except for the licences listed in Schedule 3 undertaking the activities described in Schedule 4 unless this notice is varied or revoked.</w:t>
      </w:r>
    </w:p>
    <w:p w14:paraId="5FED88E7" w14:textId="77777777" w:rsidR="00EC6726" w:rsidRDefault="00EC6726" w:rsidP="00EC6726">
      <w:pPr>
        <w:pStyle w:val="GG-Title2"/>
      </w:pPr>
      <w:r>
        <w:t>Schedule 1</w:t>
      </w:r>
    </w:p>
    <w:p w14:paraId="36A9DCD6" w14:textId="77777777" w:rsidR="00EC6726" w:rsidRDefault="00EC6726" w:rsidP="00EC6726">
      <w:pPr>
        <w:pStyle w:val="GG-body"/>
      </w:pPr>
      <w:r>
        <w:t>The act of taking or an act preparatory to or involved in the taking of King Prawns (</w:t>
      </w:r>
      <w:proofErr w:type="spellStart"/>
      <w:r w:rsidRPr="008D5F39">
        <w:rPr>
          <w:i/>
          <w:iCs/>
        </w:rPr>
        <w:t>Melicertus</w:t>
      </w:r>
      <w:proofErr w:type="spellEnd"/>
      <w:r w:rsidRPr="008D5F39">
        <w:rPr>
          <w:i/>
          <w:iCs/>
        </w:rPr>
        <w:t xml:space="preserve"> </w:t>
      </w:r>
      <w:proofErr w:type="spellStart"/>
      <w:r w:rsidRPr="008D5F39">
        <w:rPr>
          <w:i/>
          <w:iCs/>
        </w:rPr>
        <w:t>latisulcatus</w:t>
      </w:r>
      <w:proofErr w:type="spellEnd"/>
      <w:r>
        <w:t>).</w:t>
      </w:r>
    </w:p>
    <w:p w14:paraId="2D89CC32" w14:textId="77777777" w:rsidR="00EC6726" w:rsidRDefault="00EC6726" w:rsidP="00EC6726">
      <w:pPr>
        <w:pStyle w:val="GG-Title2"/>
      </w:pPr>
      <w:r>
        <w:t>Schedule 2</w:t>
      </w:r>
    </w:p>
    <w:p w14:paraId="1A6B5476" w14:textId="77777777" w:rsidR="00EC6726" w:rsidRDefault="00EC6726" w:rsidP="00EC6726">
      <w:pPr>
        <w:pStyle w:val="GG-body"/>
      </w:pPr>
      <w:r>
        <w:t>Between sunset on 1 March 2025 and sunrise on 3 March 2025.</w:t>
      </w:r>
    </w:p>
    <w:p w14:paraId="2293F27C" w14:textId="77777777" w:rsidR="00EC6726" w:rsidRDefault="00EC6726" w:rsidP="00EC6726">
      <w:pPr>
        <w:pStyle w:val="GG-Title2"/>
      </w:pPr>
      <w:r>
        <w:t>Schedule 3</w:t>
      </w:r>
    </w:p>
    <w:tbl>
      <w:tblPr>
        <w:tblStyle w:val="TableGrid"/>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127"/>
        <w:gridCol w:w="1701"/>
      </w:tblGrid>
      <w:tr w:rsidR="00EC6726" w:rsidRPr="008D5F39" w14:paraId="45890E52" w14:textId="77777777" w:rsidTr="000E227A">
        <w:tc>
          <w:tcPr>
            <w:tcW w:w="1559" w:type="dxa"/>
            <w:tcBorders>
              <w:top w:val="single" w:sz="4" w:space="0" w:color="auto"/>
              <w:bottom w:val="single" w:sz="4" w:space="0" w:color="auto"/>
            </w:tcBorders>
          </w:tcPr>
          <w:p w14:paraId="20CA3AB1" w14:textId="77777777" w:rsidR="00EC6726" w:rsidRPr="008D5F39" w:rsidRDefault="00EC6726" w:rsidP="000E227A">
            <w:pPr>
              <w:spacing w:before="40" w:after="40"/>
              <w:jc w:val="center"/>
              <w:rPr>
                <w:b/>
                <w:bCs/>
              </w:rPr>
            </w:pPr>
            <w:r w:rsidRPr="008D5F39">
              <w:rPr>
                <w:b/>
                <w:bCs/>
              </w:rPr>
              <w:t>Licence Number</w:t>
            </w:r>
          </w:p>
        </w:tc>
        <w:tc>
          <w:tcPr>
            <w:tcW w:w="2127" w:type="dxa"/>
            <w:tcBorders>
              <w:top w:val="single" w:sz="4" w:space="0" w:color="auto"/>
              <w:bottom w:val="single" w:sz="4" w:space="0" w:color="auto"/>
            </w:tcBorders>
          </w:tcPr>
          <w:p w14:paraId="093A6242" w14:textId="77777777" w:rsidR="00EC6726" w:rsidRPr="008D5F39" w:rsidRDefault="00EC6726" w:rsidP="000E227A">
            <w:pPr>
              <w:spacing w:before="40" w:after="40"/>
              <w:jc w:val="center"/>
              <w:rPr>
                <w:b/>
                <w:bCs/>
              </w:rPr>
            </w:pPr>
            <w:r w:rsidRPr="008D5F39">
              <w:rPr>
                <w:b/>
                <w:bCs/>
              </w:rPr>
              <w:t>Licence Holder</w:t>
            </w:r>
          </w:p>
        </w:tc>
        <w:tc>
          <w:tcPr>
            <w:tcW w:w="1701" w:type="dxa"/>
            <w:tcBorders>
              <w:top w:val="single" w:sz="4" w:space="0" w:color="auto"/>
              <w:bottom w:val="single" w:sz="4" w:space="0" w:color="auto"/>
            </w:tcBorders>
          </w:tcPr>
          <w:p w14:paraId="1FD83C2B" w14:textId="77777777" w:rsidR="00EC6726" w:rsidRPr="008D5F39" w:rsidRDefault="00EC6726" w:rsidP="000E227A">
            <w:pPr>
              <w:spacing w:before="40" w:after="40"/>
              <w:jc w:val="center"/>
              <w:rPr>
                <w:b/>
                <w:bCs/>
              </w:rPr>
            </w:pPr>
            <w:r w:rsidRPr="008D5F39">
              <w:rPr>
                <w:b/>
                <w:bCs/>
              </w:rPr>
              <w:t>Boat Name</w:t>
            </w:r>
          </w:p>
        </w:tc>
      </w:tr>
      <w:tr w:rsidR="00EC6726" w:rsidRPr="008D5F39" w14:paraId="1ECA4D05" w14:textId="77777777" w:rsidTr="000E227A">
        <w:tc>
          <w:tcPr>
            <w:tcW w:w="1559" w:type="dxa"/>
            <w:tcBorders>
              <w:top w:val="single" w:sz="4" w:space="0" w:color="auto"/>
            </w:tcBorders>
          </w:tcPr>
          <w:p w14:paraId="35F72B51" w14:textId="77777777" w:rsidR="00EC6726" w:rsidRPr="008D5F39" w:rsidRDefault="00EC6726" w:rsidP="000E227A">
            <w:pPr>
              <w:spacing w:before="40" w:after="20"/>
              <w:ind w:left="465"/>
              <w:jc w:val="left"/>
            </w:pPr>
            <w:r w:rsidRPr="008D5F39">
              <w:t>V03</w:t>
            </w:r>
          </w:p>
        </w:tc>
        <w:tc>
          <w:tcPr>
            <w:tcW w:w="2127" w:type="dxa"/>
            <w:tcBorders>
              <w:top w:val="single" w:sz="4" w:space="0" w:color="auto"/>
            </w:tcBorders>
          </w:tcPr>
          <w:p w14:paraId="66459FDC" w14:textId="77777777" w:rsidR="00EC6726" w:rsidRPr="008D5F39" w:rsidRDefault="00EC6726" w:rsidP="000E227A">
            <w:pPr>
              <w:spacing w:before="40" w:after="20"/>
              <w:ind w:left="36"/>
            </w:pPr>
            <w:r w:rsidRPr="008D5F39">
              <w:t>Josephine K Fisheries P/L</w:t>
            </w:r>
          </w:p>
        </w:tc>
        <w:tc>
          <w:tcPr>
            <w:tcW w:w="1701" w:type="dxa"/>
            <w:tcBorders>
              <w:top w:val="single" w:sz="4" w:space="0" w:color="auto"/>
            </w:tcBorders>
          </w:tcPr>
          <w:p w14:paraId="1812A82C" w14:textId="77777777" w:rsidR="00EC6726" w:rsidRPr="006B735B" w:rsidRDefault="00EC6726" w:rsidP="000E227A">
            <w:pPr>
              <w:spacing w:before="40" w:after="20"/>
              <w:ind w:left="34"/>
              <w:rPr>
                <w:i/>
                <w:iCs/>
              </w:rPr>
            </w:pPr>
            <w:r w:rsidRPr="006B735B">
              <w:rPr>
                <w:i/>
                <w:iCs/>
              </w:rPr>
              <w:t>Josephine K</w:t>
            </w:r>
          </w:p>
        </w:tc>
      </w:tr>
      <w:tr w:rsidR="00EC6726" w:rsidRPr="008D5F39" w14:paraId="2ACE924D" w14:textId="77777777" w:rsidTr="000E227A">
        <w:tc>
          <w:tcPr>
            <w:tcW w:w="1559" w:type="dxa"/>
          </w:tcPr>
          <w:p w14:paraId="51F972A9" w14:textId="77777777" w:rsidR="00EC6726" w:rsidRPr="008D5F39" w:rsidRDefault="00EC6726" w:rsidP="000E227A">
            <w:pPr>
              <w:spacing w:after="20"/>
              <w:ind w:left="465"/>
              <w:jc w:val="left"/>
            </w:pPr>
            <w:r w:rsidRPr="008D5F39">
              <w:t>V04</w:t>
            </w:r>
          </w:p>
        </w:tc>
        <w:tc>
          <w:tcPr>
            <w:tcW w:w="2127" w:type="dxa"/>
          </w:tcPr>
          <w:p w14:paraId="69B09FEC" w14:textId="77777777" w:rsidR="00EC6726" w:rsidRPr="008D5F39" w:rsidRDefault="00EC6726" w:rsidP="000E227A">
            <w:pPr>
              <w:spacing w:after="20"/>
              <w:ind w:left="36"/>
            </w:pPr>
            <w:r w:rsidRPr="008D5F39">
              <w:t>Ledo P/L</w:t>
            </w:r>
          </w:p>
        </w:tc>
        <w:tc>
          <w:tcPr>
            <w:tcW w:w="1701" w:type="dxa"/>
          </w:tcPr>
          <w:p w14:paraId="37F41B78" w14:textId="77777777" w:rsidR="00EC6726" w:rsidRPr="006B735B" w:rsidRDefault="00EC6726" w:rsidP="000E227A">
            <w:pPr>
              <w:spacing w:after="20"/>
              <w:ind w:left="34"/>
              <w:rPr>
                <w:i/>
                <w:iCs/>
              </w:rPr>
            </w:pPr>
            <w:r w:rsidRPr="006B735B">
              <w:rPr>
                <w:i/>
                <w:iCs/>
              </w:rPr>
              <w:t>Brianna-Rene-Adele</w:t>
            </w:r>
          </w:p>
        </w:tc>
      </w:tr>
      <w:tr w:rsidR="00EC6726" w:rsidRPr="008D5F39" w14:paraId="20859F06" w14:textId="77777777" w:rsidTr="000E227A">
        <w:tc>
          <w:tcPr>
            <w:tcW w:w="1559" w:type="dxa"/>
          </w:tcPr>
          <w:p w14:paraId="51CF674B" w14:textId="77777777" w:rsidR="00EC6726" w:rsidRPr="008D5F39" w:rsidRDefault="00EC6726" w:rsidP="000E227A">
            <w:pPr>
              <w:spacing w:after="20"/>
              <w:ind w:left="465"/>
              <w:jc w:val="left"/>
            </w:pPr>
            <w:r w:rsidRPr="008D5F39">
              <w:t>V06</w:t>
            </w:r>
          </w:p>
        </w:tc>
        <w:tc>
          <w:tcPr>
            <w:tcW w:w="2127" w:type="dxa"/>
          </w:tcPr>
          <w:p w14:paraId="1CBA817D" w14:textId="77777777" w:rsidR="00EC6726" w:rsidRPr="008D5F39" w:rsidRDefault="00EC6726" w:rsidP="000E227A">
            <w:pPr>
              <w:spacing w:after="20"/>
              <w:ind w:left="36"/>
            </w:pPr>
            <w:proofErr w:type="spellStart"/>
            <w:r w:rsidRPr="008D5F39">
              <w:t>Todreel</w:t>
            </w:r>
            <w:proofErr w:type="spellEnd"/>
            <w:r w:rsidRPr="008D5F39">
              <w:t xml:space="preserve"> P/L</w:t>
            </w:r>
          </w:p>
        </w:tc>
        <w:tc>
          <w:tcPr>
            <w:tcW w:w="1701" w:type="dxa"/>
          </w:tcPr>
          <w:p w14:paraId="3A0658B3" w14:textId="77777777" w:rsidR="00EC6726" w:rsidRPr="006B735B" w:rsidRDefault="00EC6726" w:rsidP="000E227A">
            <w:pPr>
              <w:spacing w:after="20"/>
              <w:ind w:left="34"/>
              <w:rPr>
                <w:i/>
                <w:iCs/>
              </w:rPr>
            </w:pPr>
            <w:r w:rsidRPr="006B735B">
              <w:rPr>
                <w:i/>
                <w:iCs/>
              </w:rPr>
              <w:t>Anna Pearl</w:t>
            </w:r>
          </w:p>
        </w:tc>
      </w:tr>
      <w:tr w:rsidR="00EC6726" w:rsidRPr="008D5F39" w14:paraId="48839B28" w14:textId="77777777" w:rsidTr="000E227A">
        <w:tc>
          <w:tcPr>
            <w:tcW w:w="1559" w:type="dxa"/>
            <w:tcBorders>
              <w:bottom w:val="single" w:sz="4" w:space="0" w:color="auto"/>
            </w:tcBorders>
          </w:tcPr>
          <w:p w14:paraId="41327468" w14:textId="77777777" w:rsidR="00EC6726" w:rsidRPr="008D5F39" w:rsidRDefault="00EC6726" w:rsidP="000E227A">
            <w:pPr>
              <w:ind w:left="465"/>
              <w:jc w:val="left"/>
            </w:pPr>
            <w:r w:rsidRPr="008D5F39">
              <w:t>V14</w:t>
            </w:r>
          </w:p>
        </w:tc>
        <w:tc>
          <w:tcPr>
            <w:tcW w:w="2127" w:type="dxa"/>
            <w:tcBorders>
              <w:bottom w:val="single" w:sz="4" w:space="0" w:color="auto"/>
            </w:tcBorders>
          </w:tcPr>
          <w:p w14:paraId="47A8A1B5" w14:textId="77777777" w:rsidR="00EC6726" w:rsidRPr="008D5F39" w:rsidRDefault="00EC6726" w:rsidP="000E227A">
            <w:pPr>
              <w:ind w:left="36"/>
            </w:pPr>
            <w:r w:rsidRPr="008D5F39">
              <w:t>WJ Fountain P/L</w:t>
            </w:r>
          </w:p>
        </w:tc>
        <w:tc>
          <w:tcPr>
            <w:tcW w:w="1701" w:type="dxa"/>
            <w:tcBorders>
              <w:bottom w:val="single" w:sz="4" w:space="0" w:color="auto"/>
            </w:tcBorders>
          </w:tcPr>
          <w:p w14:paraId="2B50741F" w14:textId="77777777" w:rsidR="00EC6726" w:rsidRPr="006B735B" w:rsidRDefault="00EC6726" w:rsidP="000E227A">
            <w:pPr>
              <w:ind w:left="34"/>
              <w:rPr>
                <w:i/>
                <w:iCs/>
              </w:rPr>
            </w:pPr>
            <w:r w:rsidRPr="006B735B">
              <w:rPr>
                <w:i/>
                <w:iCs/>
              </w:rPr>
              <w:t>Zadar</w:t>
            </w:r>
          </w:p>
        </w:tc>
      </w:tr>
    </w:tbl>
    <w:p w14:paraId="7BE43BD3" w14:textId="77777777" w:rsidR="00EC6726" w:rsidRDefault="00EC6726" w:rsidP="00EC6726">
      <w:pPr>
        <w:pStyle w:val="GG-Title2"/>
        <w:spacing w:before="80"/>
      </w:pPr>
      <w:r>
        <w:t>Schedule 4</w:t>
      </w:r>
    </w:p>
    <w:p w14:paraId="7DD7F5E0" w14:textId="77777777" w:rsidR="00EC6726" w:rsidRDefault="00EC6726" w:rsidP="00836CCB">
      <w:pPr>
        <w:pStyle w:val="GG-body"/>
        <w:spacing w:after="60"/>
        <w:ind w:left="284" w:hanging="284"/>
      </w:pPr>
      <w:r>
        <w:t>1.</w:t>
      </w:r>
      <w:r>
        <w:tab/>
        <w:t xml:space="preserve">For the purposes of this schedule the trawl survey areas cannot include any waters of a habitat protection zone or a sanctuary zone of a marine park established under the </w:t>
      </w:r>
      <w:r w:rsidRPr="00B81F41">
        <w:rPr>
          <w:i/>
          <w:iCs/>
        </w:rPr>
        <w:t>Marine Parks Act 2007</w:t>
      </w:r>
      <w:r>
        <w:t xml:space="preserve"> or depths less than 10 metres.</w:t>
      </w:r>
    </w:p>
    <w:p w14:paraId="610085B0" w14:textId="77777777" w:rsidR="00EC6726" w:rsidRDefault="00EC6726" w:rsidP="00836CCB">
      <w:pPr>
        <w:pStyle w:val="GG-body"/>
        <w:spacing w:after="60"/>
        <w:ind w:left="284" w:hanging="284"/>
      </w:pPr>
      <w:r>
        <w:t>2.</w:t>
      </w:r>
      <w:r>
        <w:tab/>
        <w:t>The licence holders listed in Schedule 3 or their registered master must comply with all regulations and conditions that apply to fishing activities undertaken pursuant to their Gulf St Vincent Prawn Fishery licence, in addition to the conditions imposed by this notice.</w:t>
      </w:r>
    </w:p>
    <w:p w14:paraId="6C159FC1" w14:textId="77777777" w:rsidR="00EC6726" w:rsidRDefault="00EC6726" w:rsidP="00836CCB">
      <w:pPr>
        <w:pStyle w:val="GG-body"/>
        <w:spacing w:after="60"/>
        <w:ind w:left="284" w:hanging="284"/>
      </w:pPr>
      <w:r>
        <w:t>3.</w:t>
      </w:r>
      <w:r>
        <w:tab/>
        <w:t xml:space="preserve">All fishing activity pursuant to this fishing notice must be conducted </w:t>
      </w:r>
      <w:proofErr w:type="gramStart"/>
      <w:r>
        <w:t>in the area of</w:t>
      </w:r>
      <w:proofErr w:type="gramEnd"/>
      <w:r>
        <w:t xml:space="preserve"> Fishery Independent Survey stations identified on page 16 of the “Gulf St Vincent Prawn </w:t>
      </w:r>
      <w:r w:rsidRPr="000C5A63">
        <w:rPr>
          <w:i/>
          <w:iCs/>
        </w:rPr>
        <w:t>Penaeus</w:t>
      </w:r>
      <w:r>
        <w:t xml:space="preserve"> (</w:t>
      </w:r>
      <w:proofErr w:type="spellStart"/>
      <w:r w:rsidRPr="00B81F41">
        <w:rPr>
          <w:i/>
          <w:iCs/>
        </w:rPr>
        <w:t>Melicertus</w:t>
      </w:r>
      <w:proofErr w:type="spellEnd"/>
      <w:r>
        <w:t xml:space="preserve">) </w:t>
      </w:r>
      <w:proofErr w:type="spellStart"/>
      <w:r w:rsidRPr="00B81F41">
        <w:rPr>
          <w:i/>
          <w:iCs/>
        </w:rPr>
        <w:t>latisulcatus</w:t>
      </w:r>
      <w:proofErr w:type="spellEnd"/>
      <w:r>
        <w:t xml:space="preserve"> Fishery 2019/20” (McLeay and Hooper 2020). </w:t>
      </w:r>
    </w:p>
    <w:p w14:paraId="149EA1C2" w14:textId="77777777" w:rsidR="00EC6726" w:rsidRPr="00B81F41" w:rsidRDefault="00EC6726" w:rsidP="00836CCB">
      <w:pPr>
        <w:pStyle w:val="GG-body"/>
        <w:spacing w:after="60"/>
        <w:ind w:left="284" w:hanging="284"/>
        <w:rPr>
          <w:spacing w:val="-3"/>
        </w:rPr>
      </w:pPr>
      <w:r>
        <w:t>4.</w:t>
      </w:r>
      <w:r>
        <w:tab/>
      </w:r>
      <w:r w:rsidRPr="00B81F41">
        <w:rPr>
          <w:spacing w:val="-3"/>
        </w:rPr>
        <w:t>Fishing activity pursuant to this fishing notice must not exceed more than one survey shot at each of the Fishery Independent Survey stations.</w:t>
      </w:r>
    </w:p>
    <w:p w14:paraId="24B03FA8" w14:textId="77777777" w:rsidR="00EC6726" w:rsidRDefault="00EC6726" w:rsidP="00836CCB">
      <w:pPr>
        <w:pStyle w:val="GG-body"/>
        <w:spacing w:after="60"/>
        <w:ind w:left="284" w:hanging="284"/>
      </w:pPr>
      <w:r>
        <w:t>5.</w:t>
      </w:r>
      <w:r>
        <w:tab/>
        <w:t>While engaged in fishing activities or unloading the survey catch, the licence holders listed in Schedule 3 or their registered master must have a copy of this notice on board the boat or near his person. This notice must be produced to a Fisheries Officer if requested.</w:t>
      </w:r>
    </w:p>
    <w:p w14:paraId="1886E201" w14:textId="77777777" w:rsidR="00EC6726" w:rsidRDefault="00EC6726" w:rsidP="00836CCB">
      <w:pPr>
        <w:pStyle w:val="GG-body"/>
        <w:spacing w:after="60"/>
        <w:ind w:left="284" w:hanging="284"/>
      </w:pPr>
      <w:r>
        <w:t>6.</w:t>
      </w:r>
      <w:r>
        <w:tab/>
      </w:r>
      <w:r w:rsidRPr="00A052F2">
        <w:rPr>
          <w:spacing w:val="-3"/>
        </w:rPr>
        <w:t xml:space="preserve">No fishing activity may be undertaken between the prescribed times of sunrise and sunset for Adelaide (as published in the </w:t>
      </w:r>
      <w:r w:rsidRPr="00A052F2">
        <w:rPr>
          <w:i/>
          <w:iCs/>
          <w:spacing w:val="-3"/>
        </w:rPr>
        <w:t>South Australian Government Gazette</w:t>
      </w:r>
      <w:r w:rsidRPr="00A052F2">
        <w:rPr>
          <w:spacing w:val="-3"/>
        </w:rPr>
        <w:t>).</w:t>
      </w:r>
    </w:p>
    <w:p w14:paraId="09990F44" w14:textId="77777777" w:rsidR="00EC6726" w:rsidRDefault="00EC6726" w:rsidP="00836CCB">
      <w:pPr>
        <w:pStyle w:val="GG-body"/>
        <w:spacing w:after="60"/>
        <w:ind w:left="284" w:hanging="284"/>
      </w:pPr>
      <w:r>
        <w:t>7.</w:t>
      </w:r>
      <w:r>
        <w:tab/>
        <w:t xml:space="preserve">The licence holders listed in Schedule 3 or their register master must not contravene or fail to comply with the </w:t>
      </w:r>
      <w:r w:rsidRPr="00A052F2">
        <w:rPr>
          <w:i/>
          <w:iCs/>
        </w:rPr>
        <w:t xml:space="preserve">Fisheries Management Act 2007, </w:t>
      </w:r>
      <w:r>
        <w:t>or any other regulations made under that Act except where specifically exempted by this notice.</w:t>
      </w:r>
    </w:p>
    <w:p w14:paraId="4FEB6172" w14:textId="77777777" w:rsidR="00EC6726" w:rsidRDefault="00EC6726" w:rsidP="00836CCB">
      <w:pPr>
        <w:pStyle w:val="GG-body"/>
        <w:spacing w:after="60"/>
        <w:ind w:left="284" w:hanging="284"/>
      </w:pPr>
      <w:r>
        <w:t>8.</w:t>
      </w:r>
      <w:r>
        <w:tab/>
        <w:t xml:space="preserve">This notice does not purport to override the provisions or operation of any other Act including, but not limited to, the </w:t>
      </w:r>
      <w:r w:rsidRPr="00B81F41">
        <w:rPr>
          <w:i/>
          <w:iCs/>
        </w:rPr>
        <w:t>Marine Parks Act 2007.</w:t>
      </w:r>
      <w:r>
        <w:t xml:space="preserve"> The notice holder and his agents must comply with any relevant regulations, permits, requirements and directions from the Department for Environment and Water when undertaking activities within a marine park.</w:t>
      </w:r>
    </w:p>
    <w:p w14:paraId="14061FAB" w14:textId="77777777" w:rsidR="00EC6726" w:rsidRDefault="00EC6726" w:rsidP="00EC6726">
      <w:pPr>
        <w:pStyle w:val="GG-SDated"/>
      </w:pPr>
      <w:r>
        <w:t>Dated: 25 February 2025</w:t>
      </w:r>
    </w:p>
    <w:p w14:paraId="49F9A103" w14:textId="77777777" w:rsidR="00EC6726" w:rsidRDefault="00EC6726" w:rsidP="00EC6726">
      <w:pPr>
        <w:pStyle w:val="GG-SName"/>
      </w:pPr>
      <w:r>
        <w:t>Jade Fredericks</w:t>
      </w:r>
    </w:p>
    <w:p w14:paraId="08A2CB48" w14:textId="77777777" w:rsidR="00EC6726" w:rsidRDefault="00EC6726" w:rsidP="00EC6726">
      <w:pPr>
        <w:pStyle w:val="GG-Signature"/>
      </w:pPr>
      <w:r>
        <w:t>GSV Prawn Fisheries Manager</w:t>
      </w:r>
    </w:p>
    <w:p w14:paraId="64BFB20E" w14:textId="685D3ECE" w:rsidR="00EC6726" w:rsidRDefault="00EC6726" w:rsidP="00EC6726">
      <w:pPr>
        <w:pStyle w:val="GG-Signature"/>
      </w:pPr>
      <w:r>
        <w:t>Delegate of the Minister for Primary Industries and Regional Development</w:t>
      </w:r>
    </w:p>
    <w:p w14:paraId="2A77FEC5" w14:textId="77777777" w:rsidR="00EC6726" w:rsidRDefault="00EC6726" w:rsidP="00EC6726">
      <w:pPr>
        <w:pStyle w:val="GG-Signature"/>
        <w:pBdr>
          <w:bottom w:val="single" w:sz="4" w:space="1" w:color="auto"/>
        </w:pBdr>
        <w:spacing w:line="52" w:lineRule="exact"/>
        <w:jc w:val="center"/>
      </w:pPr>
    </w:p>
    <w:p w14:paraId="338B41A3" w14:textId="77777777" w:rsidR="00EC6726" w:rsidRDefault="00EC6726" w:rsidP="00EC6726">
      <w:pPr>
        <w:pStyle w:val="GG-Signature"/>
        <w:pBdr>
          <w:top w:val="single" w:sz="4" w:space="1" w:color="auto"/>
        </w:pBdr>
        <w:spacing w:before="34" w:line="14" w:lineRule="exact"/>
        <w:jc w:val="center"/>
      </w:pPr>
    </w:p>
    <w:p w14:paraId="4440783C" w14:textId="77777777" w:rsidR="00EC6726" w:rsidRDefault="00EC6726" w:rsidP="00EC6726">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25A78174" w14:textId="7683684F" w:rsidR="00EC6726" w:rsidRDefault="007004B5" w:rsidP="007004B5">
      <w:pPr>
        <w:pStyle w:val="Heading2"/>
      </w:pPr>
      <w:bookmarkStart w:id="58" w:name="_Toc191542983"/>
      <w:r>
        <w:t>Fisheries Management Act 2007</w:t>
      </w:r>
      <w:bookmarkEnd w:id="58"/>
    </w:p>
    <w:p w14:paraId="261E0833" w14:textId="77777777" w:rsidR="00EC6726" w:rsidRDefault="00EC6726" w:rsidP="00EC6726">
      <w:pPr>
        <w:pStyle w:val="GG-Title2"/>
      </w:pPr>
      <w:r>
        <w:t>Section 115</w:t>
      </w:r>
    </w:p>
    <w:p w14:paraId="692D43D2" w14:textId="77777777" w:rsidR="00EC6726" w:rsidRDefault="00EC6726" w:rsidP="00EC6726">
      <w:pPr>
        <w:pStyle w:val="GG-Title3"/>
      </w:pPr>
      <w:r>
        <w:t>Ministerial Exemption ME9903367</w:t>
      </w:r>
    </w:p>
    <w:p w14:paraId="088FD171" w14:textId="77777777" w:rsidR="00EC6726" w:rsidRDefault="00EC6726" w:rsidP="00EC6726">
      <w:pPr>
        <w:pStyle w:val="GG-body"/>
      </w:pPr>
      <w:r>
        <w:t xml:space="preserve">Take notice that, pursuant to Section 115 of the </w:t>
      </w:r>
      <w:r w:rsidRPr="00FA7A6C">
        <w:rPr>
          <w:i/>
          <w:iCs/>
        </w:rPr>
        <w:t>Fisheries Management Act 2007</w:t>
      </w:r>
      <w:r>
        <w:t xml:space="preserve">, I Professor Gavin Begg, Executive Director Fisheries and Aquaculture, delegate of the Minister for Primary Industries and Regional Development, hereby exempt the holder of a Gulf St Vincent Prawn Fishery Licence (exemption holder) and their registered masters from Section 70 of the </w:t>
      </w:r>
      <w:r w:rsidRPr="00FA7A6C">
        <w:rPr>
          <w:i/>
          <w:iCs/>
        </w:rPr>
        <w:t>Fisheries Management Act 2007</w:t>
      </w:r>
      <w:r>
        <w:t xml:space="preserve">, and Regulation 5, Clause 26 of Schedule 6 of the </w:t>
      </w:r>
      <w:r w:rsidRPr="00E33DD7">
        <w:rPr>
          <w:i/>
          <w:iCs/>
        </w:rPr>
        <w:t>Fisheries Management (General) Regulations 2017</w:t>
      </w:r>
      <w:r>
        <w:t xml:space="preserve"> but only insofar as they may operate nets with a total headline length greater than 27.43 metres but not exceeding 29.26 metres (exempted activity) when fishing under their licenses, subject to the conditions specified in Schedule 1, from 29 March 2025 until 28 March 2026 unless otherwise varied or revoked.</w:t>
      </w:r>
    </w:p>
    <w:p w14:paraId="1062A316" w14:textId="77777777" w:rsidR="00EC6726" w:rsidRDefault="00EC6726" w:rsidP="00EC6726">
      <w:pPr>
        <w:pStyle w:val="GG-Title2"/>
      </w:pPr>
      <w:r>
        <w:lastRenderedPageBreak/>
        <w:t>Schedule 1</w:t>
      </w:r>
    </w:p>
    <w:p w14:paraId="33173DF6" w14:textId="77777777" w:rsidR="00EC6726" w:rsidRDefault="00EC6726" w:rsidP="00EC6726">
      <w:pPr>
        <w:pStyle w:val="GG-body"/>
        <w:ind w:left="284" w:hanging="284"/>
      </w:pPr>
      <w:r>
        <w:t>1.</w:t>
      </w:r>
      <w:r>
        <w:tab/>
        <w:t>The exempted activity may only be undertaken from a registered vessel that has an overall length greater than 15.2 metres and less than 22 metres.</w:t>
      </w:r>
    </w:p>
    <w:p w14:paraId="1DB0DE56" w14:textId="77777777" w:rsidR="00EC6726" w:rsidRDefault="00EC6726" w:rsidP="00EC6726">
      <w:pPr>
        <w:pStyle w:val="GG-body"/>
        <w:ind w:left="284" w:hanging="284"/>
      </w:pPr>
      <w:r>
        <w:t>2.</w:t>
      </w:r>
      <w:r>
        <w:tab/>
        <w:t xml:space="preserve">When undertaking the exempted activity, the exemption holder or their registered masters must adhere to the </w:t>
      </w:r>
      <w:r w:rsidRPr="00E33DD7">
        <w:rPr>
          <w:i/>
          <w:iCs/>
        </w:rPr>
        <w:t>Fisheries Management (Prawn Fisheries) Regulations 2006</w:t>
      </w:r>
      <w:r>
        <w:t xml:space="preserve">. </w:t>
      </w:r>
    </w:p>
    <w:p w14:paraId="254E4629" w14:textId="77777777" w:rsidR="00EC6726" w:rsidRDefault="00EC6726" w:rsidP="00EC6726">
      <w:pPr>
        <w:pStyle w:val="GG-body"/>
        <w:ind w:left="284" w:hanging="284"/>
      </w:pPr>
      <w:r>
        <w:t>3.</w:t>
      </w:r>
      <w:r>
        <w:tab/>
        <w:t>A copy of this exemption notice must be carried on board the vessel when undertaking the exempted activity.</w:t>
      </w:r>
    </w:p>
    <w:p w14:paraId="46E66038" w14:textId="77777777" w:rsidR="00EC6726" w:rsidRDefault="00EC6726" w:rsidP="00EC6726">
      <w:pPr>
        <w:pStyle w:val="GG-SDated"/>
      </w:pPr>
      <w:r>
        <w:t>Dated: 25 February 2025</w:t>
      </w:r>
    </w:p>
    <w:p w14:paraId="0F062F92" w14:textId="77777777" w:rsidR="00EC6726" w:rsidRDefault="00EC6726" w:rsidP="00EC6726">
      <w:pPr>
        <w:pStyle w:val="GG-SName"/>
      </w:pPr>
      <w:r>
        <w:t>Professor Gavin Begg</w:t>
      </w:r>
    </w:p>
    <w:p w14:paraId="7B5BA4BD" w14:textId="77777777" w:rsidR="00EC6726" w:rsidRDefault="00EC6726" w:rsidP="00EC6726">
      <w:pPr>
        <w:pStyle w:val="GG-Signature"/>
      </w:pPr>
      <w:r>
        <w:t>Executive Director</w:t>
      </w:r>
    </w:p>
    <w:p w14:paraId="05CBE96A" w14:textId="4CE5D0DF" w:rsidR="00EC6726" w:rsidRDefault="00EC6726" w:rsidP="00EC6726">
      <w:pPr>
        <w:pStyle w:val="GG-Signature"/>
      </w:pPr>
      <w:r>
        <w:t xml:space="preserve">Fisheries </w:t>
      </w:r>
      <w:r w:rsidR="00903476">
        <w:t>a</w:t>
      </w:r>
      <w:r>
        <w:t>nd Aquaculture</w:t>
      </w:r>
    </w:p>
    <w:p w14:paraId="7AC639A2" w14:textId="77777777" w:rsidR="00EC6726" w:rsidRDefault="00EC6726" w:rsidP="00EC6726">
      <w:pPr>
        <w:pStyle w:val="GG-Signature"/>
      </w:pPr>
      <w:r>
        <w:t>Delegate of the Minister for Primary Industries and Regional Development</w:t>
      </w:r>
    </w:p>
    <w:p w14:paraId="219DE98C" w14:textId="77777777" w:rsidR="00EC6726" w:rsidRDefault="00EC6726" w:rsidP="00EC6726">
      <w:pPr>
        <w:pStyle w:val="GG-Signature"/>
        <w:pBdr>
          <w:top w:val="single" w:sz="4" w:space="1" w:color="auto"/>
        </w:pBdr>
        <w:spacing w:before="100" w:line="14" w:lineRule="exact"/>
        <w:jc w:val="center"/>
      </w:pPr>
    </w:p>
    <w:p w14:paraId="421576B4" w14:textId="77777777" w:rsidR="00EC6726" w:rsidRPr="003D4C75" w:rsidRDefault="00EC6726" w:rsidP="00EC6726">
      <w:pPr>
        <w:pStyle w:val="NoSpacing"/>
      </w:pPr>
    </w:p>
    <w:p w14:paraId="06088026" w14:textId="77777777" w:rsidR="00EC6726" w:rsidRPr="00EC6726" w:rsidRDefault="00EC6726" w:rsidP="00EC6726">
      <w:pPr>
        <w:jc w:val="center"/>
        <w:rPr>
          <w:caps/>
          <w:szCs w:val="17"/>
        </w:rPr>
      </w:pPr>
      <w:r w:rsidRPr="00EC6726">
        <w:rPr>
          <w:caps/>
          <w:szCs w:val="17"/>
        </w:rPr>
        <w:t>Fisheries Management Act 2007</w:t>
      </w:r>
    </w:p>
    <w:p w14:paraId="0F28DF4A" w14:textId="77777777" w:rsidR="00EC6726" w:rsidRPr="00EC6726" w:rsidRDefault="00EC6726" w:rsidP="00EC6726">
      <w:pPr>
        <w:jc w:val="center"/>
        <w:rPr>
          <w:smallCaps/>
          <w:szCs w:val="17"/>
        </w:rPr>
      </w:pPr>
      <w:r w:rsidRPr="00EC6726">
        <w:rPr>
          <w:smallCaps/>
          <w:szCs w:val="17"/>
        </w:rPr>
        <w:t>Section 115</w:t>
      </w:r>
    </w:p>
    <w:p w14:paraId="2E0AD72D" w14:textId="77777777" w:rsidR="00EC6726" w:rsidRPr="00EC6726" w:rsidRDefault="00EC6726" w:rsidP="00EC6726">
      <w:pPr>
        <w:jc w:val="center"/>
        <w:rPr>
          <w:i/>
          <w:szCs w:val="17"/>
        </w:rPr>
      </w:pPr>
      <w:r w:rsidRPr="00EC6726">
        <w:rPr>
          <w:i/>
          <w:szCs w:val="17"/>
        </w:rPr>
        <w:t>Variation—Ministerial Exemption ME9903321</w:t>
      </w:r>
    </w:p>
    <w:p w14:paraId="70EDA326" w14:textId="77777777" w:rsidR="00EC6726" w:rsidRPr="00EC6726" w:rsidRDefault="00EC6726" w:rsidP="00EC6726">
      <w:pPr>
        <w:rPr>
          <w:spacing w:val="2"/>
        </w:rPr>
      </w:pPr>
      <w:r w:rsidRPr="00EC6726">
        <w:rPr>
          <w:spacing w:val="2"/>
        </w:rPr>
        <w:t xml:space="preserve">Take notice that the Ministerial Exemption ME9903321 dated 6 August 2024, being the first notice published on page 2443 of the </w:t>
      </w:r>
      <w:r w:rsidRPr="00EC6726">
        <w:rPr>
          <w:i/>
          <w:iCs/>
          <w:spacing w:val="2"/>
        </w:rPr>
        <w:t>South Australian Government Gazette</w:t>
      </w:r>
      <w:r w:rsidRPr="00EC6726">
        <w:rPr>
          <w:spacing w:val="2"/>
        </w:rPr>
        <w:t xml:space="preserve"> of 15 August 2024, issued to Ms Leslie Morrison (the ‘exemption holder’), or current university staff or post graduate students of the School of Science and Engineering at Flinders University, Sturt Road, Bedford Park acting as her agents, is hereby varied by deleting Schedule 3 and inserting the following:</w:t>
      </w:r>
    </w:p>
    <w:p w14:paraId="6798E5C8" w14:textId="77777777" w:rsidR="00EC6726" w:rsidRPr="00EC6726" w:rsidRDefault="00EC6726" w:rsidP="00EC6726">
      <w:pPr>
        <w:jc w:val="center"/>
        <w:rPr>
          <w:smallCaps/>
          <w:szCs w:val="17"/>
        </w:rPr>
      </w:pPr>
      <w:r w:rsidRPr="00EC6726">
        <w:rPr>
          <w:smallCaps/>
          <w:szCs w:val="17"/>
        </w:rPr>
        <w:t>Schedule 3</w:t>
      </w:r>
    </w:p>
    <w:p w14:paraId="6FB428F5" w14:textId="77777777" w:rsidR="00EC6726" w:rsidRPr="00EC6726" w:rsidRDefault="00EC6726" w:rsidP="00EC6726">
      <w:r w:rsidRPr="00EC6726">
        <w:t>The gear that may be used when undertaking activities under this exemption notice include:</w:t>
      </w:r>
    </w:p>
    <w:p w14:paraId="6D943025" w14:textId="77777777" w:rsidR="00EC6726" w:rsidRPr="00EC6726" w:rsidRDefault="00EC6726" w:rsidP="00EC6726">
      <w:pPr>
        <w:ind w:left="284" w:hanging="142"/>
      </w:pPr>
      <w:r w:rsidRPr="00EC6726">
        <w:t>•</w:t>
      </w:r>
      <w:r w:rsidRPr="00EC6726">
        <w:tab/>
        <w:t>Up to 8 x plankton nets (maximum 1m diameter, 1.6m length and maximum 38mm mesh)</w:t>
      </w:r>
    </w:p>
    <w:p w14:paraId="6907E011" w14:textId="77777777" w:rsidR="00EC6726" w:rsidRPr="00EC6726" w:rsidRDefault="00EC6726" w:rsidP="00EC6726">
      <w:pPr>
        <w:ind w:left="284" w:hanging="142"/>
      </w:pPr>
      <w:r w:rsidRPr="00EC6726">
        <w:t>•</w:t>
      </w:r>
      <w:r w:rsidRPr="00EC6726">
        <w:tab/>
        <w:t xml:space="preserve">Up to 6 x </w:t>
      </w:r>
      <w:proofErr w:type="spellStart"/>
      <w:r w:rsidRPr="00EC6726">
        <w:t>Niskin</w:t>
      </w:r>
      <w:proofErr w:type="spellEnd"/>
      <w:r w:rsidRPr="00EC6726">
        <w:t xml:space="preserve"> bottles</w:t>
      </w:r>
    </w:p>
    <w:p w14:paraId="6E2BEA47" w14:textId="77777777" w:rsidR="00EC6726" w:rsidRPr="00EC6726" w:rsidRDefault="00EC6726" w:rsidP="00EC6726">
      <w:pPr>
        <w:ind w:left="284" w:hanging="142"/>
      </w:pPr>
      <w:r w:rsidRPr="00EC6726">
        <w:t>•</w:t>
      </w:r>
      <w:r w:rsidRPr="00EC6726">
        <w:tab/>
        <w:t>Up to 30 x plastic corers (4cm and 10cm diameter x 20cm length).</w:t>
      </w:r>
    </w:p>
    <w:p w14:paraId="25C79A88" w14:textId="77777777" w:rsidR="00EC6726" w:rsidRPr="00EC6726" w:rsidRDefault="00EC6726" w:rsidP="00EC6726">
      <w:pPr>
        <w:ind w:left="284" w:hanging="142"/>
      </w:pPr>
      <w:r w:rsidRPr="00EC6726">
        <w:t>•</w:t>
      </w:r>
      <w:r w:rsidRPr="00EC6726">
        <w:tab/>
        <w:t>Up to 2 x seine nets (maximum 5mm mesh size and a maximum length of 20m)</w:t>
      </w:r>
    </w:p>
    <w:p w14:paraId="75802D3E" w14:textId="77777777" w:rsidR="00EC6726" w:rsidRPr="00EC6726" w:rsidRDefault="00EC6726" w:rsidP="00EC6726">
      <w:pPr>
        <w:spacing w:after="0"/>
        <w:rPr>
          <w:rFonts w:eastAsia="Times New Roman"/>
          <w:szCs w:val="17"/>
        </w:rPr>
      </w:pPr>
      <w:r w:rsidRPr="00EC6726">
        <w:rPr>
          <w:rFonts w:eastAsia="Times New Roman"/>
          <w:szCs w:val="17"/>
        </w:rPr>
        <w:t>Dated: 19 February 2025</w:t>
      </w:r>
    </w:p>
    <w:p w14:paraId="51549B8F" w14:textId="77777777" w:rsidR="00EC6726" w:rsidRPr="00EC6726" w:rsidRDefault="00EC6726" w:rsidP="00EC6726">
      <w:pPr>
        <w:spacing w:after="0"/>
        <w:jc w:val="right"/>
        <w:rPr>
          <w:rFonts w:eastAsia="Times New Roman"/>
          <w:smallCaps/>
          <w:szCs w:val="20"/>
        </w:rPr>
      </w:pPr>
      <w:r w:rsidRPr="00EC6726">
        <w:rPr>
          <w:rFonts w:eastAsia="Times New Roman"/>
          <w:smallCaps/>
          <w:szCs w:val="20"/>
        </w:rPr>
        <w:t>Professor Gavin Begg</w:t>
      </w:r>
    </w:p>
    <w:p w14:paraId="35E0967D" w14:textId="77777777" w:rsidR="00EC6726" w:rsidRPr="00EC6726" w:rsidRDefault="00EC6726" w:rsidP="00EC6726">
      <w:pPr>
        <w:spacing w:after="0"/>
        <w:jc w:val="right"/>
        <w:rPr>
          <w:rFonts w:eastAsia="Times New Roman"/>
          <w:szCs w:val="17"/>
        </w:rPr>
      </w:pPr>
      <w:r w:rsidRPr="00EC6726">
        <w:rPr>
          <w:rFonts w:eastAsia="Times New Roman"/>
          <w:szCs w:val="17"/>
        </w:rPr>
        <w:t>Executive Director</w:t>
      </w:r>
    </w:p>
    <w:p w14:paraId="03FA1593" w14:textId="77777777" w:rsidR="00EC6726" w:rsidRPr="00EC6726" w:rsidRDefault="00EC6726" w:rsidP="00EC6726">
      <w:pPr>
        <w:spacing w:after="0"/>
        <w:jc w:val="right"/>
        <w:rPr>
          <w:rFonts w:eastAsia="Times New Roman"/>
          <w:szCs w:val="17"/>
        </w:rPr>
      </w:pPr>
      <w:r w:rsidRPr="00EC6726">
        <w:rPr>
          <w:rFonts w:eastAsia="Times New Roman"/>
          <w:szCs w:val="17"/>
        </w:rPr>
        <w:t>Fisheries and Aquaculture</w:t>
      </w:r>
    </w:p>
    <w:p w14:paraId="2C1A6BEA" w14:textId="77777777" w:rsidR="00EC6726" w:rsidRDefault="00EC6726" w:rsidP="00EC6726">
      <w:pPr>
        <w:spacing w:after="0"/>
        <w:jc w:val="right"/>
        <w:rPr>
          <w:rFonts w:eastAsia="Times New Roman"/>
          <w:szCs w:val="17"/>
        </w:rPr>
      </w:pPr>
      <w:r w:rsidRPr="00EC6726">
        <w:rPr>
          <w:rFonts w:eastAsia="Times New Roman"/>
          <w:szCs w:val="17"/>
        </w:rPr>
        <w:t>Delegate of the Minister for Primary Industries and Regional Development</w:t>
      </w:r>
    </w:p>
    <w:p w14:paraId="07CBD889" w14:textId="77777777" w:rsidR="00EC6726" w:rsidRDefault="00EC6726" w:rsidP="00EC6726">
      <w:pPr>
        <w:pBdr>
          <w:bottom w:val="single" w:sz="4" w:space="1" w:color="auto"/>
        </w:pBdr>
        <w:spacing w:after="0" w:line="52" w:lineRule="exact"/>
        <w:jc w:val="center"/>
        <w:rPr>
          <w:rFonts w:eastAsia="Times New Roman"/>
          <w:szCs w:val="17"/>
        </w:rPr>
      </w:pPr>
    </w:p>
    <w:p w14:paraId="2C85F181" w14:textId="77777777" w:rsidR="00EC6726" w:rsidRDefault="00EC6726" w:rsidP="00EC6726">
      <w:pPr>
        <w:pBdr>
          <w:top w:val="single" w:sz="4" w:space="1" w:color="auto"/>
        </w:pBdr>
        <w:spacing w:before="34" w:after="0" w:line="14" w:lineRule="exact"/>
        <w:jc w:val="center"/>
        <w:rPr>
          <w:rFonts w:eastAsia="Times New Roman"/>
          <w:szCs w:val="17"/>
        </w:rPr>
      </w:pPr>
    </w:p>
    <w:p w14:paraId="63CF398B" w14:textId="77777777" w:rsidR="00EC6726" w:rsidRPr="00EC6726" w:rsidRDefault="00EC6726" w:rsidP="00EC6726">
      <w:pPr>
        <w:pStyle w:val="NoSpacing"/>
      </w:pPr>
    </w:p>
    <w:p w14:paraId="61B800E9" w14:textId="105C41D5" w:rsidR="00EC6726" w:rsidRPr="0009264B" w:rsidRDefault="007004B5" w:rsidP="007004B5">
      <w:pPr>
        <w:pStyle w:val="Heading2"/>
      </w:pPr>
      <w:bookmarkStart w:id="59" w:name="_Toc191542984"/>
      <w:r w:rsidRPr="0009264B">
        <w:t>Housing Improvement Act 2016</w:t>
      </w:r>
      <w:bookmarkEnd w:id="59"/>
    </w:p>
    <w:p w14:paraId="6B07C71B" w14:textId="77777777" w:rsidR="00EC6726" w:rsidRPr="0009264B" w:rsidRDefault="00EC6726" w:rsidP="00EC6726">
      <w:pPr>
        <w:pStyle w:val="GG-Title3"/>
      </w:pPr>
      <w:r w:rsidRPr="0009264B">
        <w:t>Rent Control Revocations</w:t>
      </w:r>
    </w:p>
    <w:p w14:paraId="246E3632" w14:textId="77777777" w:rsidR="00EC6726" w:rsidRPr="00982C5A" w:rsidRDefault="00EC6726" w:rsidP="00EC6726">
      <w:pPr>
        <w:pStyle w:val="GG-body"/>
      </w:pPr>
      <w:r w:rsidRPr="0009264B">
        <w:rPr>
          <w:spacing w:val="-4"/>
        </w:rPr>
        <w:t xml:space="preserve">In the exercise of the powers conferred by the </w:t>
      </w:r>
      <w:r w:rsidRPr="0009264B">
        <w:rPr>
          <w:i/>
          <w:iCs/>
          <w:spacing w:val="-4"/>
        </w:rPr>
        <w:t>Housing Improvement Act 2016</w:t>
      </w:r>
      <w:r w:rsidRPr="0009264B">
        <w:rPr>
          <w:spacing w:val="-4"/>
        </w:rPr>
        <w:t xml:space="preserve">, the Delegate of the Minister for Housing and Urban Development </w:t>
      </w:r>
      <w:r w:rsidRPr="00982C5A">
        <w:t xml:space="preserve">hereby revokes the maximum rental amount per week that shall be payable subject to Section 55 of the </w:t>
      </w:r>
      <w:r w:rsidRPr="00982C5A">
        <w:rPr>
          <w:i/>
          <w:iCs/>
        </w:rPr>
        <w:t>Residential Tenancies Act 1995</w:t>
      </w:r>
      <w:r w:rsidRPr="00982C5A">
        <w:t>, in</w:t>
      </w:r>
      <w:r>
        <w:t> </w:t>
      </w:r>
      <w:r w:rsidRPr="00982C5A">
        <w:t>respect of each premises described in the following table.</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9"/>
        <w:gridCol w:w="4111"/>
        <w:gridCol w:w="2126"/>
      </w:tblGrid>
      <w:tr w:rsidR="00EC6726" w:rsidRPr="0061618A" w14:paraId="196761BB" w14:textId="77777777" w:rsidTr="000E227A">
        <w:tc>
          <w:tcPr>
            <w:tcW w:w="3119" w:type="dxa"/>
            <w:tcBorders>
              <w:top w:val="single" w:sz="4" w:space="0" w:color="auto"/>
              <w:bottom w:val="single" w:sz="4" w:space="0" w:color="auto"/>
            </w:tcBorders>
            <w:vAlign w:val="center"/>
          </w:tcPr>
          <w:p w14:paraId="3321D87C" w14:textId="77777777" w:rsidR="00EC6726" w:rsidRPr="0061618A" w:rsidRDefault="00EC6726" w:rsidP="000E227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61618A">
              <w:rPr>
                <w:b/>
                <w:bCs/>
              </w:rPr>
              <w:t>Address of Premises</w:t>
            </w:r>
          </w:p>
        </w:tc>
        <w:tc>
          <w:tcPr>
            <w:tcW w:w="4111" w:type="dxa"/>
            <w:tcBorders>
              <w:top w:val="single" w:sz="4" w:space="0" w:color="auto"/>
              <w:bottom w:val="single" w:sz="4" w:space="0" w:color="auto"/>
            </w:tcBorders>
            <w:vAlign w:val="center"/>
          </w:tcPr>
          <w:p w14:paraId="347AC8FE" w14:textId="77777777" w:rsidR="00EC6726" w:rsidRPr="0061618A" w:rsidRDefault="00EC6726" w:rsidP="000E227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61618A">
              <w:rPr>
                <w:b/>
                <w:bCs/>
              </w:rPr>
              <w:t>Allotment</w:t>
            </w:r>
            <w:r>
              <w:rPr>
                <w:b/>
                <w:bCs/>
              </w:rPr>
              <w:t xml:space="preserve"> </w:t>
            </w:r>
            <w:r w:rsidRPr="0061618A">
              <w:rPr>
                <w:b/>
                <w:bCs/>
              </w:rPr>
              <w:t>Section</w:t>
            </w:r>
          </w:p>
        </w:tc>
        <w:tc>
          <w:tcPr>
            <w:tcW w:w="2126" w:type="dxa"/>
            <w:tcBorders>
              <w:top w:val="single" w:sz="4" w:space="0" w:color="auto"/>
              <w:bottom w:val="single" w:sz="4" w:space="0" w:color="auto"/>
            </w:tcBorders>
            <w:vAlign w:val="center"/>
          </w:tcPr>
          <w:p w14:paraId="657D77BC" w14:textId="77777777" w:rsidR="00EC6726" w:rsidRPr="0061618A" w:rsidRDefault="00EC6726" w:rsidP="000E227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9642E1">
              <w:rPr>
                <w:b/>
                <w:bCs/>
                <w:u w:val="single"/>
              </w:rPr>
              <w:t>Certificate of Title</w:t>
            </w:r>
            <w:r w:rsidRPr="0061618A">
              <w:rPr>
                <w:b/>
                <w:bCs/>
              </w:rPr>
              <w:t xml:space="preserve"> Volume/Folio</w:t>
            </w:r>
          </w:p>
        </w:tc>
      </w:tr>
      <w:tr w:rsidR="00EC6726" w:rsidRPr="0061618A" w14:paraId="2A0386C9" w14:textId="77777777" w:rsidTr="000E227A">
        <w:tc>
          <w:tcPr>
            <w:tcW w:w="3119" w:type="dxa"/>
            <w:tcBorders>
              <w:top w:val="single" w:sz="4" w:space="0" w:color="auto"/>
              <w:bottom w:val="single" w:sz="4" w:space="0" w:color="auto"/>
            </w:tcBorders>
          </w:tcPr>
          <w:p w14:paraId="2E1D1522" w14:textId="77777777" w:rsidR="00EC6726" w:rsidRPr="0009264B" w:rsidRDefault="00EC6726"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pPr>
            <w:r w:rsidRPr="0009264B">
              <w:t>22 Barwell Avenue, Kurr</w:t>
            </w:r>
            <w:r>
              <w:t>a</w:t>
            </w:r>
            <w:r w:rsidRPr="0009264B">
              <w:t>lta Park SA 5037</w:t>
            </w:r>
          </w:p>
        </w:tc>
        <w:tc>
          <w:tcPr>
            <w:tcW w:w="4111" w:type="dxa"/>
            <w:tcBorders>
              <w:top w:val="single" w:sz="4" w:space="0" w:color="auto"/>
              <w:bottom w:val="single" w:sz="4" w:space="0" w:color="auto"/>
            </w:tcBorders>
          </w:tcPr>
          <w:p w14:paraId="2CC076CB" w14:textId="77777777" w:rsidR="00EC6726" w:rsidRPr="0009264B" w:rsidRDefault="00EC6726"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09264B">
              <w:t>Allotment 114 Deposited Plan 2800 Hundred of Adelaide</w:t>
            </w:r>
          </w:p>
        </w:tc>
        <w:tc>
          <w:tcPr>
            <w:tcW w:w="2126" w:type="dxa"/>
            <w:tcBorders>
              <w:top w:val="single" w:sz="4" w:space="0" w:color="auto"/>
              <w:bottom w:val="single" w:sz="4" w:space="0" w:color="auto"/>
            </w:tcBorders>
            <w:vAlign w:val="center"/>
          </w:tcPr>
          <w:p w14:paraId="6E9A217C" w14:textId="77777777" w:rsidR="00EC6726" w:rsidRPr="0009264B" w:rsidRDefault="00EC6726"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09264B">
              <w:t>CT5768/45</w:t>
            </w:r>
          </w:p>
        </w:tc>
      </w:tr>
    </w:tbl>
    <w:p w14:paraId="6456A6DB" w14:textId="77777777" w:rsidR="00EC6726" w:rsidRPr="00F2199C" w:rsidRDefault="00EC6726" w:rsidP="00EC6726">
      <w:pPr>
        <w:spacing w:before="80" w:after="0"/>
        <w:rPr>
          <w:rFonts w:eastAsia="Times New Roman"/>
          <w:szCs w:val="17"/>
        </w:rPr>
      </w:pPr>
      <w:r w:rsidRPr="00F2199C">
        <w:rPr>
          <w:rFonts w:eastAsia="Times New Roman"/>
          <w:szCs w:val="17"/>
        </w:rPr>
        <w:t xml:space="preserve">Dated: </w:t>
      </w:r>
      <w:r>
        <w:rPr>
          <w:rFonts w:eastAsia="Times New Roman"/>
          <w:szCs w:val="17"/>
        </w:rPr>
        <w:t>27</w:t>
      </w:r>
      <w:r w:rsidRPr="00F2199C">
        <w:rPr>
          <w:rFonts w:eastAsia="Times New Roman"/>
          <w:szCs w:val="17"/>
        </w:rPr>
        <w:t xml:space="preserve"> </w:t>
      </w:r>
      <w:r>
        <w:rPr>
          <w:rFonts w:eastAsia="Times New Roman"/>
          <w:szCs w:val="17"/>
        </w:rPr>
        <w:t>February</w:t>
      </w:r>
      <w:r w:rsidRPr="00F2199C">
        <w:rPr>
          <w:rFonts w:eastAsia="Times New Roman"/>
          <w:szCs w:val="17"/>
        </w:rPr>
        <w:t xml:space="preserve"> 202</w:t>
      </w:r>
      <w:r>
        <w:rPr>
          <w:rFonts w:eastAsia="Times New Roman"/>
          <w:szCs w:val="17"/>
        </w:rPr>
        <w:t>5</w:t>
      </w:r>
    </w:p>
    <w:p w14:paraId="6B4C1797" w14:textId="77777777" w:rsidR="00EC6726" w:rsidRPr="00F2199C" w:rsidRDefault="00EC6726" w:rsidP="00EC6726">
      <w:pPr>
        <w:spacing w:after="0"/>
        <w:jc w:val="right"/>
        <w:rPr>
          <w:rFonts w:eastAsia="Times New Roman"/>
          <w:smallCaps/>
          <w:szCs w:val="20"/>
        </w:rPr>
      </w:pPr>
      <w:r w:rsidRPr="00F2199C">
        <w:rPr>
          <w:rFonts w:eastAsia="Times New Roman"/>
          <w:smallCaps/>
          <w:szCs w:val="20"/>
        </w:rPr>
        <w:t>Craig Thompson</w:t>
      </w:r>
    </w:p>
    <w:p w14:paraId="6131FB9B" w14:textId="77777777" w:rsidR="00EC6726" w:rsidRPr="00F2199C" w:rsidRDefault="00EC6726" w:rsidP="00EC6726">
      <w:pPr>
        <w:spacing w:after="0"/>
        <w:jc w:val="right"/>
        <w:rPr>
          <w:rFonts w:eastAsia="Times New Roman"/>
          <w:szCs w:val="17"/>
        </w:rPr>
      </w:pPr>
      <w:r w:rsidRPr="00F2199C">
        <w:rPr>
          <w:rFonts w:eastAsia="Times New Roman"/>
          <w:szCs w:val="17"/>
        </w:rPr>
        <w:t>Housing Regulator and Registrar</w:t>
      </w:r>
    </w:p>
    <w:p w14:paraId="558E5DF9" w14:textId="77777777" w:rsidR="00EC6726" w:rsidRPr="00F2199C" w:rsidRDefault="00EC6726" w:rsidP="00EC6726">
      <w:pPr>
        <w:spacing w:after="0"/>
        <w:jc w:val="right"/>
        <w:rPr>
          <w:rFonts w:eastAsia="Times New Roman"/>
          <w:szCs w:val="17"/>
        </w:rPr>
      </w:pPr>
      <w:r w:rsidRPr="00F2199C">
        <w:rPr>
          <w:rFonts w:eastAsia="Times New Roman"/>
          <w:szCs w:val="17"/>
        </w:rPr>
        <w:t>Housing Safety Authority</w:t>
      </w:r>
    </w:p>
    <w:p w14:paraId="50CEB4C3" w14:textId="24F97F73" w:rsidR="00EC6726" w:rsidRDefault="00EC6726" w:rsidP="00EC6726">
      <w:pPr>
        <w:spacing w:after="0"/>
        <w:jc w:val="right"/>
        <w:rPr>
          <w:rFonts w:eastAsia="Times New Roman"/>
          <w:szCs w:val="17"/>
        </w:rPr>
      </w:pPr>
      <w:r w:rsidRPr="00F2199C">
        <w:rPr>
          <w:rFonts w:eastAsia="Times New Roman"/>
          <w:szCs w:val="17"/>
        </w:rPr>
        <w:t>Delegate of the Minister for Housing and Urban Development</w:t>
      </w:r>
    </w:p>
    <w:p w14:paraId="508FF3D6" w14:textId="77777777" w:rsidR="00EC6726" w:rsidRDefault="00EC6726" w:rsidP="00EC6726">
      <w:pPr>
        <w:pBdr>
          <w:top w:val="single" w:sz="4" w:space="1" w:color="auto"/>
        </w:pBdr>
        <w:spacing w:before="100" w:after="0" w:line="14" w:lineRule="exact"/>
        <w:jc w:val="center"/>
        <w:rPr>
          <w:rFonts w:eastAsia="Times New Roman"/>
          <w:szCs w:val="17"/>
        </w:rPr>
      </w:pPr>
    </w:p>
    <w:p w14:paraId="7BDCD79D" w14:textId="77777777" w:rsidR="00EC6726" w:rsidRDefault="00EC6726" w:rsidP="00EC6726">
      <w:pPr>
        <w:pStyle w:val="NoSpacing"/>
      </w:pPr>
    </w:p>
    <w:p w14:paraId="6047F714" w14:textId="77777777" w:rsidR="00EC6726" w:rsidRPr="00A2652F" w:rsidRDefault="00EC6726" w:rsidP="00EC6726">
      <w:pPr>
        <w:pStyle w:val="GG-Title1"/>
        <w:rPr>
          <w:lang w:val="en-US"/>
        </w:rPr>
      </w:pPr>
      <w:r w:rsidRPr="00A2652F">
        <w:rPr>
          <w:lang w:val="en-US"/>
        </w:rPr>
        <w:t>HOUSING IMPROVEMENT ACT 2016</w:t>
      </w:r>
    </w:p>
    <w:p w14:paraId="43DEAD81" w14:textId="77777777" w:rsidR="00EC6726" w:rsidRPr="00A2652F" w:rsidRDefault="00EC6726" w:rsidP="00EC6726">
      <w:pPr>
        <w:pStyle w:val="GG-Title3"/>
        <w:rPr>
          <w:lang w:val="en-US"/>
        </w:rPr>
      </w:pPr>
      <w:r w:rsidRPr="00A2652F">
        <w:rPr>
          <w:lang w:val="en-US"/>
        </w:rPr>
        <w:t>Rent Control Variations</w:t>
      </w:r>
    </w:p>
    <w:p w14:paraId="50B315A3" w14:textId="77777777" w:rsidR="00EC6726" w:rsidRPr="00533D5E" w:rsidRDefault="00EC6726" w:rsidP="00EC6726">
      <w:pPr>
        <w:pStyle w:val="GG-body"/>
        <w:rPr>
          <w:lang w:val="en-US"/>
        </w:rPr>
      </w:pPr>
      <w:r w:rsidRPr="007574BA">
        <w:rPr>
          <w:spacing w:val="-4"/>
          <w:lang w:val="en-US"/>
        </w:rPr>
        <w:t xml:space="preserve">In the exercise of the powers conferred by the </w:t>
      </w:r>
      <w:r w:rsidRPr="00F2199C">
        <w:rPr>
          <w:i/>
          <w:iCs/>
          <w:spacing w:val="-4"/>
          <w:lang w:val="en-US"/>
        </w:rPr>
        <w:t>Housing Improvement Act 2016</w:t>
      </w:r>
      <w:r w:rsidRPr="007574BA">
        <w:rPr>
          <w:spacing w:val="-4"/>
          <w:lang w:val="en-US"/>
        </w:rPr>
        <w:t xml:space="preserve">, the Delegate of the Minister for Housing and Urban Development </w:t>
      </w:r>
      <w:r w:rsidRPr="00533D5E">
        <w:rPr>
          <w:lang w:val="en-US"/>
        </w:rPr>
        <w:t xml:space="preserve">hereby varies the maximum rental amount per week that shall be payable subject to Section 55 of the </w:t>
      </w:r>
      <w:r w:rsidRPr="00533D5E">
        <w:rPr>
          <w:i/>
          <w:iCs/>
          <w:lang w:val="en-US"/>
        </w:rPr>
        <w:t>Residential Tenancies Act 1995,</w:t>
      </w:r>
      <w:r w:rsidRPr="00533D5E">
        <w:rPr>
          <w:lang w:val="en-US"/>
        </w:rPr>
        <w:t xml:space="preserve"> in</w:t>
      </w:r>
      <w:r>
        <w:rPr>
          <w:lang w:val="en-US"/>
        </w:rPr>
        <w:t> </w:t>
      </w:r>
      <w:r w:rsidRPr="00533D5E">
        <w:rPr>
          <w:lang w:val="en-US"/>
        </w:rPr>
        <w:t>respect of each premises described in the following table. The amount shown in the said table shall come into force on the date of this publication in the Gazette.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2977"/>
        <w:gridCol w:w="1559"/>
        <w:gridCol w:w="992"/>
        <w:gridCol w:w="1412"/>
      </w:tblGrid>
      <w:tr w:rsidR="00EC6726" w:rsidRPr="0061618A" w14:paraId="4943AE91" w14:textId="77777777" w:rsidTr="000E227A">
        <w:tc>
          <w:tcPr>
            <w:tcW w:w="2410" w:type="dxa"/>
            <w:tcBorders>
              <w:top w:val="single" w:sz="4" w:space="0" w:color="auto"/>
              <w:bottom w:val="single" w:sz="4" w:space="0" w:color="auto"/>
            </w:tcBorders>
            <w:vAlign w:val="center"/>
          </w:tcPr>
          <w:p w14:paraId="0151FE03" w14:textId="77777777" w:rsidR="00EC6726" w:rsidRPr="0061618A" w:rsidRDefault="00EC6726" w:rsidP="000E227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61618A">
              <w:rPr>
                <w:b/>
                <w:bCs/>
              </w:rPr>
              <w:t>Address of Premises</w:t>
            </w:r>
          </w:p>
        </w:tc>
        <w:tc>
          <w:tcPr>
            <w:tcW w:w="2977" w:type="dxa"/>
            <w:tcBorders>
              <w:top w:val="single" w:sz="4" w:space="0" w:color="auto"/>
              <w:bottom w:val="single" w:sz="4" w:space="0" w:color="auto"/>
            </w:tcBorders>
            <w:vAlign w:val="center"/>
          </w:tcPr>
          <w:p w14:paraId="418A6CDE" w14:textId="77777777" w:rsidR="00EC6726" w:rsidRPr="0061618A" w:rsidRDefault="00EC6726" w:rsidP="000E227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61618A">
              <w:rPr>
                <w:b/>
                <w:bCs/>
              </w:rPr>
              <w:t>Allotment</w:t>
            </w:r>
            <w:r>
              <w:rPr>
                <w:b/>
                <w:bCs/>
              </w:rPr>
              <w:t xml:space="preserve"> </w:t>
            </w:r>
            <w:r w:rsidRPr="0061618A">
              <w:rPr>
                <w:b/>
                <w:bCs/>
              </w:rPr>
              <w:t>Section</w:t>
            </w:r>
          </w:p>
        </w:tc>
        <w:tc>
          <w:tcPr>
            <w:tcW w:w="1559" w:type="dxa"/>
            <w:tcBorders>
              <w:top w:val="single" w:sz="4" w:space="0" w:color="auto"/>
              <w:bottom w:val="single" w:sz="4" w:space="0" w:color="auto"/>
            </w:tcBorders>
            <w:vAlign w:val="center"/>
          </w:tcPr>
          <w:p w14:paraId="767F47D4" w14:textId="77777777" w:rsidR="00EC6726" w:rsidRPr="0061618A" w:rsidRDefault="00EC6726" w:rsidP="000E227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9642E1">
              <w:rPr>
                <w:b/>
                <w:bCs/>
                <w:u w:val="single"/>
              </w:rPr>
              <w:t>Certificate of Title</w:t>
            </w:r>
            <w:r w:rsidRPr="0061618A">
              <w:rPr>
                <w:b/>
                <w:bCs/>
              </w:rPr>
              <w:t xml:space="preserve"> Volume/Folio</w:t>
            </w:r>
          </w:p>
        </w:tc>
        <w:tc>
          <w:tcPr>
            <w:tcW w:w="992" w:type="dxa"/>
            <w:tcBorders>
              <w:top w:val="single" w:sz="4" w:space="0" w:color="auto"/>
              <w:bottom w:val="single" w:sz="4" w:space="0" w:color="auto"/>
            </w:tcBorders>
            <w:vAlign w:val="center"/>
          </w:tcPr>
          <w:p w14:paraId="0BF38AC0" w14:textId="77777777" w:rsidR="00EC6726" w:rsidRPr="0061618A" w:rsidRDefault="00EC6726" w:rsidP="000E227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61618A">
              <w:rPr>
                <w:b/>
                <w:bCs/>
              </w:rPr>
              <w:t xml:space="preserve">Reason for </w:t>
            </w:r>
            <w:r>
              <w:rPr>
                <w:b/>
                <w:bCs/>
              </w:rPr>
              <w:t>V</w:t>
            </w:r>
            <w:r w:rsidRPr="0061618A">
              <w:rPr>
                <w:b/>
                <w:bCs/>
              </w:rPr>
              <w:t>ariation</w:t>
            </w:r>
          </w:p>
        </w:tc>
        <w:tc>
          <w:tcPr>
            <w:tcW w:w="1412" w:type="dxa"/>
            <w:tcBorders>
              <w:top w:val="single" w:sz="4" w:space="0" w:color="auto"/>
              <w:bottom w:val="single" w:sz="4" w:space="0" w:color="auto"/>
            </w:tcBorders>
            <w:vAlign w:val="center"/>
          </w:tcPr>
          <w:p w14:paraId="191EAF9C" w14:textId="77777777" w:rsidR="00EC6726" w:rsidRPr="0061618A" w:rsidRDefault="00EC6726" w:rsidP="000E227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61618A">
              <w:rPr>
                <w:b/>
                <w:bCs/>
              </w:rPr>
              <w:t>Maximum Rental per week payable</w:t>
            </w:r>
          </w:p>
        </w:tc>
      </w:tr>
      <w:tr w:rsidR="00EC6726" w:rsidRPr="0061618A" w14:paraId="030749FE" w14:textId="77777777" w:rsidTr="000E227A">
        <w:tc>
          <w:tcPr>
            <w:tcW w:w="2410" w:type="dxa"/>
            <w:tcBorders>
              <w:top w:val="single" w:sz="4" w:space="0" w:color="auto"/>
              <w:bottom w:val="single" w:sz="4" w:space="0" w:color="auto"/>
            </w:tcBorders>
          </w:tcPr>
          <w:p w14:paraId="448CC1AC" w14:textId="77777777" w:rsidR="00EC6726" w:rsidRPr="0061618A" w:rsidRDefault="00EC6726"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pPr>
            <w:r w:rsidRPr="00BC752E">
              <w:t>7 Waltham Street, Berri SA 5343</w:t>
            </w:r>
          </w:p>
        </w:tc>
        <w:tc>
          <w:tcPr>
            <w:tcW w:w="2977" w:type="dxa"/>
            <w:tcBorders>
              <w:top w:val="single" w:sz="4" w:space="0" w:color="auto"/>
              <w:bottom w:val="single" w:sz="4" w:space="0" w:color="auto"/>
            </w:tcBorders>
          </w:tcPr>
          <w:p w14:paraId="66EECAE2" w14:textId="77777777" w:rsidR="00EC6726" w:rsidRPr="0061618A" w:rsidRDefault="00EC6726" w:rsidP="000E227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ind w:left="285" w:hanging="147"/>
              <w:jc w:val="left"/>
            </w:pPr>
            <w:r>
              <w:t xml:space="preserve">Allotment 211 T740201 Town of Berri </w:t>
            </w:r>
            <w:proofErr w:type="spellStart"/>
            <w:r>
              <w:t>Berri</w:t>
            </w:r>
            <w:proofErr w:type="spellEnd"/>
            <w:r>
              <w:t xml:space="preserve"> Irrigation Area</w:t>
            </w:r>
          </w:p>
        </w:tc>
        <w:tc>
          <w:tcPr>
            <w:tcW w:w="1559" w:type="dxa"/>
            <w:tcBorders>
              <w:top w:val="single" w:sz="4" w:space="0" w:color="auto"/>
              <w:bottom w:val="single" w:sz="4" w:space="0" w:color="auto"/>
            </w:tcBorders>
          </w:tcPr>
          <w:p w14:paraId="71EA336A" w14:textId="77777777" w:rsidR="00EC6726" w:rsidRPr="0061618A" w:rsidRDefault="00EC6726" w:rsidP="000E227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61618A">
              <w:t>CT</w:t>
            </w:r>
            <w:r>
              <w:t>5952/316</w:t>
            </w:r>
          </w:p>
        </w:tc>
        <w:tc>
          <w:tcPr>
            <w:tcW w:w="992" w:type="dxa"/>
            <w:tcBorders>
              <w:top w:val="single" w:sz="4" w:space="0" w:color="auto"/>
              <w:bottom w:val="single" w:sz="4" w:space="0" w:color="auto"/>
            </w:tcBorders>
          </w:tcPr>
          <w:p w14:paraId="40C35841" w14:textId="77777777" w:rsidR="00EC6726" w:rsidRPr="0061618A" w:rsidRDefault="00EC6726" w:rsidP="000E227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p>
        </w:tc>
        <w:tc>
          <w:tcPr>
            <w:tcW w:w="1412" w:type="dxa"/>
            <w:tcBorders>
              <w:top w:val="single" w:sz="4" w:space="0" w:color="auto"/>
              <w:bottom w:val="single" w:sz="4" w:space="0" w:color="auto"/>
            </w:tcBorders>
          </w:tcPr>
          <w:p w14:paraId="211D7B13" w14:textId="77777777" w:rsidR="00EC6726" w:rsidRPr="0061618A" w:rsidRDefault="00EC6726" w:rsidP="000E227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61618A">
              <w:t>$0.00</w:t>
            </w:r>
          </w:p>
        </w:tc>
      </w:tr>
    </w:tbl>
    <w:p w14:paraId="49AE50B1" w14:textId="77777777" w:rsidR="00EC6726" w:rsidRPr="00F2199C" w:rsidRDefault="00EC6726" w:rsidP="00EC6726">
      <w:pPr>
        <w:spacing w:before="80" w:after="0"/>
        <w:rPr>
          <w:rFonts w:eastAsia="Times New Roman"/>
          <w:szCs w:val="17"/>
        </w:rPr>
      </w:pPr>
      <w:r w:rsidRPr="00F2199C">
        <w:rPr>
          <w:rFonts w:eastAsia="Times New Roman"/>
          <w:szCs w:val="17"/>
        </w:rPr>
        <w:t xml:space="preserve">Dated: </w:t>
      </w:r>
      <w:r>
        <w:rPr>
          <w:rFonts w:eastAsia="Times New Roman"/>
          <w:szCs w:val="17"/>
        </w:rPr>
        <w:t>27</w:t>
      </w:r>
      <w:r w:rsidRPr="00F2199C">
        <w:rPr>
          <w:rFonts w:eastAsia="Times New Roman"/>
          <w:szCs w:val="17"/>
        </w:rPr>
        <w:t xml:space="preserve"> </w:t>
      </w:r>
      <w:r>
        <w:rPr>
          <w:rFonts w:eastAsia="Times New Roman"/>
          <w:szCs w:val="17"/>
        </w:rPr>
        <w:t>February</w:t>
      </w:r>
      <w:r w:rsidRPr="00F2199C">
        <w:rPr>
          <w:rFonts w:eastAsia="Times New Roman"/>
          <w:szCs w:val="17"/>
        </w:rPr>
        <w:t xml:space="preserve"> 202</w:t>
      </w:r>
      <w:r>
        <w:rPr>
          <w:rFonts w:eastAsia="Times New Roman"/>
          <w:szCs w:val="17"/>
        </w:rPr>
        <w:t>5</w:t>
      </w:r>
    </w:p>
    <w:p w14:paraId="3F5A71B7" w14:textId="77777777" w:rsidR="00EC6726" w:rsidRPr="00F2199C" w:rsidRDefault="00EC6726" w:rsidP="00EC6726">
      <w:pPr>
        <w:spacing w:after="0"/>
        <w:jc w:val="right"/>
        <w:rPr>
          <w:rFonts w:eastAsia="Times New Roman"/>
          <w:smallCaps/>
          <w:szCs w:val="20"/>
        </w:rPr>
      </w:pPr>
      <w:r w:rsidRPr="00F2199C">
        <w:rPr>
          <w:rFonts w:eastAsia="Times New Roman"/>
          <w:smallCaps/>
          <w:szCs w:val="20"/>
        </w:rPr>
        <w:t>Craig Thompson</w:t>
      </w:r>
    </w:p>
    <w:p w14:paraId="0BC95B0A" w14:textId="77777777" w:rsidR="00EC6726" w:rsidRPr="00F2199C" w:rsidRDefault="00EC6726" w:rsidP="00EC6726">
      <w:pPr>
        <w:spacing w:after="0"/>
        <w:jc w:val="right"/>
        <w:rPr>
          <w:rFonts w:eastAsia="Times New Roman"/>
          <w:szCs w:val="17"/>
        </w:rPr>
      </w:pPr>
      <w:r w:rsidRPr="00F2199C">
        <w:rPr>
          <w:rFonts w:eastAsia="Times New Roman"/>
          <w:szCs w:val="17"/>
        </w:rPr>
        <w:t>Housing Regulator and Registrar</w:t>
      </w:r>
    </w:p>
    <w:p w14:paraId="46B65524" w14:textId="77777777" w:rsidR="00EC6726" w:rsidRPr="00F2199C" w:rsidRDefault="00EC6726" w:rsidP="00EC6726">
      <w:pPr>
        <w:spacing w:after="0"/>
        <w:jc w:val="right"/>
        <w:rPr>
          <w:rFonts w:eastAsia="Times New Roman"/>
          <w:szCs w:val="17"/>
        </w:rPr>
      </w:pPr>
      <w:r w:rsidRPr="00F2199C">
        <w:rPr>
          <w:rFonts w:eastAsia="Times New Roman"/>
          <w:szCs w:val="17"/>
        </w:rPr>
        <w:t>Housing Safety Authority</w:t>
      </w:r>
    </w:p>
    <w:p w14:paraId="5BED1CFE" w14:textId="77777777" w:rsidR="00EC6726" w:rsidRDefault="00EC6726" w:rsidP="00EC6726">
      <w:pPr>
        <w:spacing w:after="0"/>
        <w:jc w:val="right"/>
        <w:rPr>
          <w:rFonts w:eastAsia="Times New Roman"/>
          <w:szCs w:val="17"/>
        </w:rPr>
      </w:pPr>
      <w:r w:rsidRPr="00F2199C">
        <w:rPr>
          <w:rFonts w:eastAsia="Times New Roman"/>
          <w:szCs w:val="17"/>
        </w:rPr>
        <w:t>Delegate of the Minister for Housing and Urban Development</w:t>
      </w:r>
    </w:p>
    <w:p w14:paraId="590ADF11" w14:textId="77777777" w:rsidR="00EC6726" w:rsidRDefault="00EC6726" w:rsidP="00EC6726">
      <w:pPr>
        <w:pBdr>
          <w:bottom w:val="single" w:sz="4" w:space="1" w:color="auto"/>
        </w:pBdr>
        <w:spacing w:after="0" w:line="52" w:lineRule="exact"/>
        <w:jc w:val="center"/>
        <w:rPr>
          <w:rFonts w:eastAsia="Times New Roman"/>
          <w:szCs w:val="17"/>
        </w:rPr>
      </w:pPr>
    </w:p>
    <w:p w14:paraId="0AE14586" w14:textId="77777777" w:rsidR="00EC6726" w:rsidRDefault="00EC6726" w:rsidP="00EC6726">
      <w:pPr>
        <w:pBdr>
          <w:top w:val="single" w:sz="4" w:space="1" w:color="auto"/>
        </w:pBdr>
        <w:spacing w:before="34" w:after="0" w:line="14" w:lineRule="exact"/>
        <w:jc w:val="center"/>
        <w:rPr>
          <w:rFonts w:eastAsia="Times New Roman"/>
          <w:szCs w:val="17"/>
        </w:rPr>
      </w:pPr>
    </w:p>
    <w:p w14:paraId="2A84194F" w14:textId="15B6F1E4" w:rsidR="00EC6726" w:rsidRDefault="00EC6726">
      <w:pPr>
        <w:spacing w:after="0" w:line="240" w:lineRule="auto"/>
        <w:jc w:val="left"/>
        <w:rPr>
          <w:rFonts w:eastAsia="Times New Roman"/>
          <w:szCs w:val="17"/>
        </w:rPr>
      </w:pPr>
      <w:r>
        <w:rPr>
          <w:rFonts w:eastAsia="Times New Roman"/>
          <w:szCs w:val="17"/>
        </w:rPr>
        <w:br w:type="page"/>
      </w:r>
    </w:p>
    <w:p w14:paraId="48338FC8" w14:textId="7D484864" w:rsidR="00EC6726" w:rsidRPr="00EC6726" w:rsidRDefault="007004B5" w:rsidP="007004B5">
      <w:pPr>
        <w:pStyle w:val="Heading2"/>
      </w:pPr>
      <w:bookmarkStart w:id="60" w:name="_Toc191542985"/>
      <w:r w:rsidRPr="00EC6726">
        <w:lastRenderedPageBreak/>
        <w:t>Land Acquisition Act 1969</w:t>
      </w:r>
      <w:bookmarkEnd w:id="60"/>
    </w:p>
    <w:p w14:paraId="7D1FC9D6" w14:textId="77777777" w:rsidR="00EC6726" w:rsidRPr="00EC6726" w:rsidRDefault="00EC6726" w:rsidP="00EC6726">
      <w:pPr>
        <w:jc w:val="center"/>
        <w:rPr>
          <w:smallCaps/>
          <w:szCs w:val="17"/>
        </w:rPr>
      </w:pPr>
      <w:r w:rsidRPr="00EC6726">
        <w:rPr>
          <w:smallCaps/>
          <w:szCs w:val="17"/>
        </w:rPr>
        <w:t>Section 16</w:t>
      </w:r>
    </w:p>
    <w:p w14:paraId="478F234F" w14:textId="77777777" w:rsidR="00EC6726" w:rsidRPr="00EC6726" w:rsidRDefault="00EC6726" w:rsidP="00EC6726">
      <w:pPr>
        <w:jc w:val="center"/>
        <w:rPr>
          <w:i/>
          <w:szCs w:val="17"/>
        </w:rPr>
      </w:pPr>
      <w:r w:rsidRPr="00EC6726">
        <w:rPr>
          <w:i/>
          <w:szCs w:val="17"/>
        </w:rPr>
        <w:t>Form 5—Notice of Acquisition</w:t>
      </w:r>
    </w:p>
    <w:p w14:paraId="594A5E3F" w14:textId="77777777" w:rsidR="00EC6726" w:rsidRPr="00EC6726" w:rsidRDefault="00EC6726" w:rsidP="00EC6726">
      <w:pPr>
        <w:ind w:left="284" w:hanging="284"/>
        <w:rPr>
          <w:b/>
          <w:bCs/>
        </w:rPr>
      </w:pPr>
      <w:r w:rsidRPr="00EC6726">
        <w:rPr>
          <w:b/>
          <w:bCs/>
        </w:rPr>
        <w:t>1.</w:t>
      </w:r>
      <w:r w:rsidRPr="00EC6726">
        <w:rPr>
          <w:b/>
          <w:bCs/>
        </w:rPr>
        <w:tab/>
        <w:t>Notice of acquisition</w:t>
      </w:r>
    </w:p>
    <w:p w14:paraId="150E7AD8" w14:textId="77777777" w:rsidR="00EC6726" w:rsidRPr="00EC6726" w:rsidRDefault="00EC6726" w:rsidP="00EC6726">
      <w:pPr>
        <w:ind w:left="284"/>
        <w:rPr>
          <w:spacing w:val="-4"/>
        </w:rPr>
      </w:pPr>
      <w:r w:rsidRPr="00EC6726">
        <w:rPr>
          <w:spacing w:val="-4"/>
        </w:rPr>
        <w:t>The Commissioner of Highways (the Authority), of 83 Pirie Street, Adelaide SA 5000, acquires the following interests in the following land:</w:t>
      </w:r>
    </w:p>
    <w:p w14:paraId="678B6FC8" w14:textId="77777777" w:rsidR="00EC6726" w:rsidRPr="00EC6726" w:rsidRDefault="00EC6726" w:rsidP="00EC6726">
      <w:pPr>
        <w:ind w:left="426"/>
      </w:pPr>
      <w:r w:rsidRPr="00EC6726">
        <w:t>Comprising an unencumbered estate in fee simple in that piece of land being portion of Allotment 105 in Deposited Plan 48218 comprised in Certificate of Title Volume 5560 Folio 799, and being the whole of the land identified as Allotment 60 in D136549 lodged in the Lands Titles Office.</w:t>
      </w:r>
    </w:p>
    <w:p w14:paraId="6B4C3826" w14:textId="77777777" w:rsidR="00EC6726" w:rsidRPr="00EC6726" w:rsidRDefault="00EC6726" w:rsidP="00EC6726">
      <w:pPr>
        <w:ind w:left="284"/>
      </w:pPr>
      <w:r w:rsidRPr="00EC6726">
        <w:t xml:space="preserve">This notice is given under Section 16 of the </w:t>
      </w:r>
      <w:r w:rsidRPr="00EC6726">
        <w:rPr>
          <w:i/>
          <w:iCs/>
        </w:rPr>
        <w:t>Land Acquisition Act 1969</w:t>
      </w:r>
      <w:r w:rsidRPr="00EC6726">
        <w:t>.</w:t>
      </w:r>
    </w:p>
    <w:p w14:paraId="66130A9B" w14:textId="77777777" w:rsidR="00EC6726" w:rsidRPr="00EC6726" w:rsidRDefault="00EC6726" w:rsidP="00EC6726">
      <w:pPr>
        <w:ind w:left="284" w:hanging="284"/>
        <w:rPr>
          <w:b/>
          <w:bCs/>
        </w:rPr>
      </w:pPr>
      <w:r w:rsidRPr="00EC6726">
        <w:rPr>
          <w:b/>
          <w:bCs/>
        </w:rPr>
        <w:t>2.</w:t>
      </w:r>
      <w:r w:rsidRPr="00EC6726">
        <w:rPr>
          <w:b/>
          <w:bCs/>
        </w:rPr>
        <w:tab/>
        <w:t>Compensation</w:t>
      </w:r>
    </w:p>
    <w:p w14:paraId="038ABF71" w14:textId="77777777" w:rsidR="00EC6726" w:rsidRPr="00EC6726" w:rsidRDefault="00EC6726" w:rsidP="00EC6726">
      <w:pPr>
        <w:ind w:left="284"/>
      </w:pPr>
      <w:r w:rsidRPr="00EC6726">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CDF1170" w14:textId="77777777" w:rsidR="00EC6726" w:rsidRPr="00EC6726" w:rsidRDefault="00EC6726" w:rsidP="00EC6726">
      <w:pPr>
        <w:ind w:left="284" w:hanging="284"/>
        <w:rPr>
          <w:b/>
          <w:bCs/>
        </w:rPr>
      </w:pPr>
      <w:r w:rsidRPr="00EC6726">
        <w:rPr>
          <w:b/>
          <w:bCs/>
        </w:rPr>
        <w:t>2A.</w:t>
      </w:r>
      <w:r w:rsidRPr="00EC6726">
        <w:rPr>
          <w:b/>
          <w:bCs/>
        </w:rPr>
        <w:tab/>
        <w:t>Payment of professional costs relating to acquisition (Section 26B)</w:t>
      </w:r>
    </w:p>
    <w:p w14:paraId="14ACE928" w14:textId="77777777" w:rsidR="00EC6726" w:rsidRPr="00EC6726" w:rsidRDefault="00EC6726" w:rsidP="00EC6726">
      <w:pPr>
        <w:ind w:left="284"/>
      </w:pPr>
      <w:r w:rsidRPr="00EC6726">
        <w:t>If you are the owner in fee simple of the land to which this notice relates, you may be entitled to a payment of up to $10,000 from the Authority for use towards the payment of professional costs in relation to the acquisition of the land.</w:t>
      </w:r>
    </w:p>
    <w:p w14:paraId="4879538F" w14:textId="77777777" w:rsidR="00EC6726" w:rsidRPr="00EC6726" w:rsidRDefault="00EC6726" w:rsidP="00EC6726">
      <w:pPr>
        <w:ind w:left="284"/>
      </w:pPr>
      <w:r w:rsidRPr="00EC6726">
        <w:t xml:space="preserve">Professional costs include legal costs, valuation costs and any other costs prescribed by the </w:t>
      </w:r>
      <w:r w:rsidRPr="00EC6726">
        <w:rPr>
          <w:i/>
          <w:iCs/>
        </w:rPr>
        <w:t>Land Acquisition Regulations 2019</w:t>
      </w:r>
      <w:r w:rsidRPr="00EC6726">
        <w:t>.</w:t>
      </w:r>
    </w:p>
    <w:p w14:paraId="71877F58" w14:textId="77777777" w:rsidR="00EC6726" w:rsidRPr="00EC6726" w:rsidRDefault="00EC6726" w:rsidP="00EC6726">
      <w:pPr>
        <w:ind w:left="284" w:hanging="284"/>
        <w:rPr>
          <w:b/>
          <w:bCs/>
        </w:rPr>
      </w:pPr>
      <w:r w:rsidRPr="00EC6726">
        <w:rPr>
          <w:b/>
          <w:bCs/>
        </w:rPr>
        <w:t>3.</w:t>
      </w:r>
      <w:r w:rsidRPr="00EC6726">
        <w:rPr>
          <w:b/>
          <w:bCs/>
        </w:rPr>
        <w:tab/>
        <w:t>Inquiries</w:t>
      </w:r>
    </w:p>
    <w:p w14:paraId="762D5078" w14:textId="77777777" w:rsidR="00EC6726" w:rsidRPr="00EC6726" w:rsidRDefault="00EC6726" w:rsidP="00EC6726">
      <w:pPr>
        <w:spacing w:after="0"/>
        <w:ind w:left="284"/>
      </w:pPr>
      <w:r w:rsidRPr="00EC6726">
        <w:t>Inquiries should be directed to:</w:t>
      </w:r>
      <w:r w:rsidRPr="00EC6726">
        <w:tab/>
      </w:r>
      <w:r w:rsidRPr="00EC6726">
        <w:tab/>
        <w:t>Daniel Tuk</w:t>
      </w:r>
    </w:p>
    <w:p w14:paraId="43751563" w14:textId="77777777" w:rsidR="00EC6726" w:rsidRPr="00EC6726" w:rsidRDefault="00EC6726" w:rsidP="00EC6726">
      <w:pPr>
        <w:spacing w:after="0"/>
        <w:ind w:left="2552"/>
      </w:pPr>
      <w:r w:rsidRPr="00EC6726">
        <w:t>GPO Box 1533</w:t>
      </w:r>
    </w:p>
    <w:p w14:paraId="7DC2524D" w14:textId="77777777" w:rsidR="00EC6726" w:rsidRPr="00EC6726" w:rsidRDefault="00EC6726" w:rsidP="00EC6726">
      <w:pPr>
        <w:spacing w:after="0"/>
        <w:ind w:left="2552"/>
      </w:pPr>
      <w:r w:rsidRPr="00EC6726">
        <w:t>Adelaide SA 5001</w:t>
      </w:r>
    </w:p>
    <w:p w14:paraId="22DC3DEC" w14:textId="77777777" w:rsidR="00EC6726" w:rsidRPr="00EC6726" w:rsidRDefault="00EC6726" w:rsidP="00EC6726">
      <w:pPr>
        <w:ind w:left="2552"/>
      </w:pPr>
      <w:r w:rsidRPr="00EC6726">
        <w:t>Telephone: (08) 7133 2479</w:t>
      </w:r>
    </w:p>
    <w:p w14:paraId="76405A93" w14:textId="77777777" w:rsidR="00EC6726" w:rsidRPr="00EC6726" w:rsidRDefault="00EC6726" w:rsidP="00EC6726">
      <w:pPr>
        <w:rPr>
          <w:rFonts w:eastAsia="Times New Roman"/>
          <w:szCs w:val="17"/>
        </w:rPr>
      </w:pPr>
      <w:r w:rsidRPr="00EC6726">
        <w:rPr>
          <w:rFonts w:eastAsia="Times New Roman"/>
          <w:szCs w:val="17"/>
        </w:rPr>
        <w:t>Dated: 25 February 2025</w:t>
      </w:r>
    </w:p>
    <w:p w14:paraId="1DDFC36C" w14:textId="77777777" w:rsidR="00EC6726" w:rsidRPr="00EC6726" w:rsidRDefault="00EC6726" w:rsidP="00EC6726">
      <w:r w:rsidRPr="00EC6726">
        <w:t xml:space="preserve">The Common Seal of the COMMISSIONER OF HIGHWAYS was hereto affixed by authority of </w:t>
      </w:r>
      <w:r w:rsidRPr="00EC6726">
        <w:tab/>
        <w:t>the Commissioner in the presence of:</w:t>
      </w:r>
      <w:r w:rsidRPr="00EC6726">
        <w:tab/>
      </w:r>
    </w:p>
    <w:p w14:paraId="2C58D031" w14:textId="77777777" w:rsidR="00EC6726" w:rsidRPr="00EC6726" w:rsidRDefault="00EC6726" w:rsidP="00EC6726">
      <w:pPr>
        <w:spacing w:after="0"/>
        <w:jc w:val="right"/>
        <w:rPr>
          <w:rFonts w:eastAsia="Times New Roman"/>
          <w:smallCaps/>
          <w:szCs w:val="20"/>
        </w:rPr>
      </w:pPr>
      <w:r w:rsidRPr="00EC6726">
        <w:rPr>
          <w:rFonts w:eastAsia="Times New Roman"/>
          <w:smallCaps/>
          <w:szCs w:val="20"/>
        </w:rPr>
        <w:t>Rocco Caruso</w:t>
      </w:r>
    </w:p>
    <w:p w14:paraId="6637A5FD" w14:textId="77777777" w:rsidR="00EC6726" w:rsidRPr="00EC6726" w:rsidRDefault="00EC6726" w:rsidP="00EC6726">
      <w:pPr>
        <w:spacing w:after="0"/>
        <w:jc w:val="right"/>
        <w:rPr>
          <w:rFonts w:eastAsia="Times New Roman"/>
          <w:szCs w:val="17"/>
        </w:rPr>
      </w:pPr>
      <w:r w:rsidRPr="00EC6726">
        <w:rPr>
          <w:rFonts w:eastAsia="Times New Roman"/>
          <w:szCs w:val="17"/>
        </w:rPr>
        <w:t>Director, Property Acquisition</w:t>
      </w:r>
    </w:p>
    <w:p w14:paraId="7FE7D1F8" w14:textId="77777777" w:rsidR="00EC6726" w:rsidRPr="00EC6726" w:rsidRDefault="00EC6726" w:rsidP="00EC6726">
      <w:pPr>
        <w:spacing w:after="0"/>
        <w:jc w:val="right"/>
        <w:rPr>
          <w:rFonts w:eastAsia="Times New Roman"/>
          <w:szCs w:val="17"/>
        </w:rPr>
      </w:pPr>
      <w:r w:rsidRPr="00EC6726">
        <w:rPr>
          <w:rFonts w:eastAsia="Times New Roman"/>
          <w:szCs w:val="17"/>
        </w:rPr>
        <w:t>(Authorised Officer)</w:t>
      </w:r>
    </w:p>
    <w:p w14:paraId="7B6F08FB" w14:textId="77777777" w:rsidR="00EC6726" w:rsidRPr="00EC6726" w:rsidRDefault="00EC6726" w:rsidP="00EC6726">
      <w:pPr>
        <w:spacing w:after="0"/>
        <w:jc w:val="right"/>
        <w:rPr>
          <w:rFonts w:eastAsia="Times New Roman"/>
          <w:szCs w:val="17"/>
        </w:rPr>
      </w:pPr>
      <w:r w:rsidRPr="00EC6726">
        <w:rPr>
          <w:rFonts w:eastAsia="Times New Roman"/>
          <w:szCs w:val="17"/>
        </w:rPr>
        <w:t>Department for Infrastructure and Transport</w:t>
      </w:r>
    </w:p>
    <w:p w14:paraId="6DB888FB" w14:textId="77777777" w:rsidR="00EC6726" w:rsidRDefault="00EC6726" w:rsidP="00EC6726">
      <w:r w:rsidRPr="00EC6726">
        <w:t>File Reference: 2024/06918/01</w:t>
      </w:r>
    </w:p>
    <w:p w14:paraId="0C3D2D23" w14:textId="77777777" w:rsidR="00EC6726" w:rsidRDefault="00EC6726" w:rsidP="00EC6726">
      <w:pPr>
        <w:pBdr>
          <w:bottom w:val="single" w:sz="4" w:space="1" w:color="auto"/>
        </w:pBdr>
        <w:spacing w:after="0" w:line="52" w:lineRule="exact"/>
        <w:jc w:val="center"/>
      </w:pPr>
    </w:p>
    <w:p w14:paraId="73C38899" w14:textId="77777777" w:rsidR="00EC6726" w:rsidRDefault="00EC6726" w:rsidP="00EC6726">
      <w:pPr>
        <w:pBdr>
          <w:top w:val="single" w:sz="4" w:space="1" w:color="auto"/>
        </w:pBdr>
        <w:spacing w:before="34" w:after="0" w:line="14" w:lineRule="exact"/>
        <w:jc w:val="center"/>
      </w:pPr>
    </w:p>
    <w:p w14:paraId="04E0AB5C" w14:textId="77777777" w:rsidR="00EC6726" w:rsidRPr="00EC6726" w:rsidRDefault="00EC6726" w:rsidP="00EC6726">
      <w:pPr>
        <w:pStyle w:val="NoSpacing"/>
      </w:pPr>
    </w:p>
    <w:p w14:paraId="60C85FEF" w14:textId="1BFCD373" w:rsidR="00EC6726" w:rsidRPr="00EC6726" w:rsidRDefault="007004B5" w:rsidP="007004B5">
      <w:pPr>
        <w:pStyle w:val="Heading2"/>
      </w:pPr>
      <w:bookmarkStart w:id="61" w:name="_Toc191542986"/>
      <w:r w:rsidRPr="00EC6726">
        <w:t xml:space="preserve">National Parks </w:t>
      </w:r>
      <w:r>
        <w:t>a</w:t>
      </w:r>
      <w:r w:rsidRPr="00EC6726">
        <w:t>nd Wildlife Act 1972</w:t>
      </w:r>
      <w:bookmarkEnd w:id="61"/>
    </w:p>
    <w:p w14:paraId="02153815" w14:textId="77777777" w:rsidR="00EC6726" w:rsidRPr="00EC6726" w:rsidRDefault="00EC6726" w:rsidP="00EC6726">
      <w:pPr>
        <w:autoSpaceDE w:val="0"/>
        <w:autoSpaceDN w:val="0"/>
        <w:adjustRightInd w:val="0"/>
        <w:spacing w:before="240" w:after="0" w:line="240" w:lineRule="auto"/>
        <w:jc w:val="left"/>
        <w:rPr>
          <w:rFonts w:eastAsiaTheme="minorEastAsia"/>
          <w:color w:val="000000"/>
          <w:sz w:val="28"/>
          <w:szCs w:val="28"/>
          <w:lang w:eastAsia="en-AU"/>
        </w:rPr>
      </w:pPr>
      <w:r w:rsidRPr="00EC6726">
        <w:rPr>
          <w:rFonts w:eastAsiaTheme="minorEastAsia"/>
          <w:color w:val="000000"/>
          <w:sz w:val="28"/>
          <w:szCs w:val="28"/>
          <w:lang w:eastAsia="en-AU"/>
        </w:rPr>
        <w:t>South Australia</w:t>
      </w:r>
    </w:p>
    <w:p w14:paraId="03153275" w14:textId="77777777" w:rsidR="00EC6726" w:rsidRPr="00EC6726" w:rsidRDefault="00EC6726" w:rsidP="00EC6726">
      <w:pPr>
        <w:autoSpaceDE w:val="0"/>
        <w:autoSpaceDN w:val="0"/>
        <w:adjustRightInd w:val="0"/>
        <w:spacing w:before="120" w:after="200" w:line="240" w:lineRule="auto"/>
        <w:jc w:val="left"/>
        <w:rPr>
          <w:rFonts w:eastAsiaTheme="minorEastAsia"/>
          <w:b/>
          <w:bCs/>
          <w:color w:val="000000"/>
          <w:sz w:val="36"/>
          <w:szCs w:val="36"/>
          <w:lang w:eastAsia="en-AU"/>
        </w:rPr>
      </w:pPr>
      <w:r w:rsidRPr="00EC6726">
        <w:rPr>
          <w:rFonts w:eastAsiaTheme="minorEastAsia"/>
          <w:b/>
          <w:bCs/>
          <w:color w:val="000000"/>
          <w:sz w:val="36"/>
          <w:szCs w:val="36"/>
          <w:lang w:eastAsia="en-AU"/>
        </w:rPr>
        <w:t>National Parks and Wildlife (Hunting) (Fees) Notice 2024</w:t>
      </w:r>
    </w:p>
    <w:p w14:paraId="5F3D6827" w14:textId="77777777" w:rsidR="00EC6726" w:rsidRPr="00EC6726" w:rsidRDefault="00EC6726" w:rsidP="00EC6726">
      <w:pPr>
        <w:autoSpaceDE w:val="0"/>
        <w:autoSpaceDN w:val="0"/>
        <w:adjustRightInd w:val="0"/>
        <w:spacing w:before="80" w:after="240" w:line="240" w:lineRule="auto"/>
        <w:jc w:val="left"/>
        <w:rPr>
          <w:rFonts w:eastAsiaTheme="minorEastAsia"/>
          <w:color w:val="000000"/>
          <w:sz w:val="24"/>
          <w:szCs w:val="24"/>
          <w:lang w:eastAsia="en-AU"/>
        </w:rPr>
      </w:pPr>
      <w:r w:rsidRPr="00EC6726">
        <w:rPr>
          <w:rFonts w:eastAsiaTheme="minorEastAsia"/>
          <w:color w:val="000000"/>
          <w:sz w:val="24"/>
          <w:szCs w:val="24"/>
          <w:lang w:eastAsia="en-AU"/>
        </w:rPr>
        <w:t xml:space="preserve">under the </w:t>
      </w:r>
      <w:r w:rsidRPr="00EC6726">
        <w:rPr>
          <w:rFonts w:eastAsiaTheme="minorEastAsia"/>
          <w:i/>
          <w:iCs/>
          <w:color w:val="000000"/>
          <w:sz w:val="24"/>
          <w:szCs w:val="24"/>
          <w:lang w:eastAsia="en-AU"/>
        </w:rPr>
        <w:t>National Parks and Wildlife Act 1972</w:t>
      </w:r>
    </w:p>
    <w:p w14:paraId="51D1931A" w14:textId="77777777" w:rsidR="00EC6726" w:rsidRPr="00EC6726" w:rsidRDefault="00EC6726" w:rsidP="00EC6726">
      <w:pPr>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EC6726">
        <w:rPr>
          <w:rFonts w:eastAsiaTheme="minorEastAsia"/>
          <w:b/>
          <w:bCs/>
          <w:color w:val="000000"/>
          <w:sz w:val="26"/>
          <w:szCs w:val="26"/>
          <w:lang w:eastAsia="en-AU"/>
        </w:rPr>
        <w:t>1—Short title</w:t>
      </w:r>
    </w:p>
    <w:p w14:paraId="70053711" w14:textId="77777777" w:rsidR="00EC6726" w:rsidRPr="00EC6726" w:rsidRDefault="00EC6726" w:rsidP="00EC6726">
      <w:pPr>
        <w:autoSpaceDE w:val="0"/>
        <w:autoSpaceDN w:val="0"/>
        <w:adjustRightInd w:val="0"/>
        <w:spacing w:before="120" w:after="0" w:line="240" w:lineRule="auto"/>
        <w:ind w:left="426"/>
        <w:jc w:val="left"/>
        <w:rPr>
          <w:rFonts w:eastAsiaTheme="minorEastAsia"/>
          <w:color w:val="000000"/>
          <w:sz w:val="23"/>
          <w:szCs w:val="23"/>
          <w:lang w:eastAsia="en-AU"/>
        </w:rPr>
      </w:pPr>
      <w:r w:rsidRPr="00EC6726">
        <w:rPr>
          <w:rFonts w:eastAsiaTheme="minorEastAsia"/>
          <w:color w:val="000000"/>
          <w:sz w:val="23"/>
          <w:szCs w:val="23"/>
          <w:lang w:eastAsia="en-AU"/>
        </w:rPr>
        <w:t xml:space="preserve">This notice may be cited as the </w:t>
      </w:r>
      <w:r w:rsidRPr="00EC6726">
        <w:rPr>
          <w:rFonts w:eastAsiaTheme="minorEastAsia"/>
          <w:i/>
          <w:iCs/>
          <w:color w:val="000000"/>
          <w:sz w:val="23"/>
          <w:szCs w:val="23"/>
          <w:lang w:eastAsia="en-AU"/>
        </w:rPr>
        <w:t>National Parks and Wildlife (Hunting) (Fees) Notice 2024.</w:t>
      </w:r>
    </w:p>
    <w:p w14:paraId="131E733A" w14:textId="77777777" w:rsidR="00EC6726" w:rsidRPr="00EC6726" w:rsidRDefault="00EC6726" w:rsidP="00EC6726">
      <w:pPr>
        <w:autoSpaceDE w:val="0"/>
        <w:autoSpaceDN w:val="0"/>
        <w:adjustRightInd w:val="0"/>
        <w:spacing w:before="120" w:after="0" w:line="240" w:lineRule="auto"/>
        <w:ind w:left="709"/>
        <w:jc w:val="left"/>
        <w:rPr>
          <w:rFonts w:eastAsiaTheme="minorEastAsia"/>
          <w:b/>
          <w:bCs/>
          <w:color w:val="000000"/>
          <w:sz w:val="20"/>
          <w:szCs w:val="20"/>
          <w:lang w:eastAsia="en-AU"/>
        </w:rPr>
      </w:pPr>
      <w:r w:rsidRPr="00EC6726">
        <w:rPr>
          <w:rFonts w:eastAsiaTheme="minorEastAsia"/>
          <w:b/>
          <w:bCs/>
          <w:color w:val="000000"/>
          <w:sz w:val="20"/>
          <w:szCs w:val="20"/>
          <w:lang w:eastAsia="en-AU"/>
        </w:rPr>
        <w:t>Note—</w:t>
      </w:r>
    </w:p>
    <w:p w14:paraId="123728DA" w14:textId="77777777" w:rsidR="00EC6726" w:rsidRPr="00EC6726" w:rsidRDefault="00EC6726" w:rsidP="00EC6726">
      <w:pPr>
        <w:autoSpaceDE w:val="0"/>
        <w:autoSpaceDN w:val="0"/>
        <w:adjustRightInd w:val="0"/>
        <w:spacing w:before="120" w:after="0" w:line="240" w:lineRule="auto"/>
        <w:ind w:left="1134"/>
        <w:jc w:val="left"/>
        <w:rPr>
          <w:rFonts w:eastAsiaTheme="minorEastAsia"/>
          <w:color w:val="000000"/>
          <w:sz w:val="20"/>
          <w:szCs w:val="20"/>
          <w:lang w:eastAsia="en-AU"/>
        </w:rPr>
      </w:pPr>
      <w:r w:rsidRPr="00EC6726">
        <w:rPr>
          <w:rFonts w:eastAsiaTheme="minorEastAsia"/>
          <w:color w:val="000000"/>
          <w:sz w:val="20"/>
          <w:szCs w:val="20"/>
          <w:lang w:eastAsia="en-AU"/>
        </w:rPr>
        <w:t xml:space="preserve">This is a fee notice made in accordance with the </w:t>
      </w:r>
      <w:hyperlink r:id="rId21" w:history="1">
        <w:r w:rsidRPr="00EC6726">
          <w:rPr>
            <w:rFonts w:eastAsiaTheme="minorEastAsia"/>
            <w:i/>
            <w:iCs/>
            <w:color w:val="000000"/>
            <w:sz w:val="20"/>
            <w:szCs w:val="20"/>
            <w:lang w:eastAsia="en-AU"/>
          </w:rPr>
          <w:t>Legislation (Fees) Act 2019</w:t>
        </w:r>
      </w:hyperlink>
      <w:r w:rsidRPr="00EC6726">
        <w:rPr>
          <w:rFonts w:eastAsiaTheme="minorEastAsia"/>
          <w:color w:val="000000"/>
          <w:sz w:val="20"/>
          <w:szCs w:val="20"/>
          <w:lang w:eastAsia="en-AU"/>
        </w:rPr>
        <w:t>.</w:t>
      </w:r>
    </w:p>
    <w:p w14:paraId="6926F02F" w14:textId="77777777" w:rsidR="00EC6726" w:rsidRPr="00EC6726" w:rsidRDefault="00EC6726" w:rsidP="00EC6726">
      <w:pPr>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EC6726">
        <w:rPr>
          <w:rFonts w:eastAsiaTheme="minorEastAsia"/>
          <w:b/>
          <w:bCs/>
          <w:color w:val="000000"/>
          <w:sz w:val="26"/>
          <w:szCs w:val="26"/>
          <w:lang w:eastAsia="en-AU"/>
        </w:rPr>
        <w:t>2—Commencement</w:t>
      </w:r>
    </w:p>
    <w:p w14:paraId="15D935BC" w14:textId="77777777" w:rsidR="00EC6726" w:rsidRPr="00EC6726" w:rsidRDefault="00EC6726" w:rsidP="00EC6726">
      <w:pPr>
        <w:autoSpaceDE w:val="0"/>
        <w:autoSpaceDN w:val="0"/>
        <w:adjustRightInd w:val="0"/>
        <w:spacing w:before="120" w:after="0" w:line="240" w:lineRule="auto"/>
        <w:ind w:left="426"/>
        <w:jc w:val="left"/>
        <w:rPr>
          <w:rFonts w:eastAsiaTheme="minorEastAsia"/>
          <w:color w:val="000000"/>
          <w:sz w:val="23"/>
          <w:szCs w:val="23"/>
          <w:lang w:eastAsia="en-AU"/>
        </w:rPr>
      </w:pPr>
      <w:r w:rsidRPr="00EC6726">
        <w:rPr>
          <w:rFonts w:eastAsiaTheme="minorEastAsia"/>
          <w:color w:val="000000"/>
          <w:sz w:val="23"/>
          <w:szCs w:val="23"/>
          <w:lang w:eastAsia="en-AU"/>
        </w:rPr>
        <w:t>This notice has effect on 27 February 2025.</w:t>
      </w:r>
    </w:p>
    <w:p w14:paraId="48EF2E09" w14:textId="77777777" w:rsidR="00EC6726" w:rsidRPr="00EC6726" w:rsidRDefault="00EC6726" w:rsidP="00EC6726">
      <w:pPr>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EC6726">
        <w:rPr>
          <w:rFonts w:eastAsiaTheme="minorEastAsia"/>
          <w:b/>
          <w:bCs/>
          <w:color w:val="000000"/>
          <w:sz w:val="26"/>
          <w:szCs w:val="26"/>
          <w:lang w:eastAsia="en-AU"/>
        </w:rPr>
        <w:t>3—Interpretation</w:t>
      </w:r>
    </w:p>
    <w:p w14:paraId="1AC5E6B7" w14:textId="77777777" w:rsidR="00EC6726" w:rsidRPr="00EC6726" w:rsidRDefault="00EC6726" w:rsidP="00EC6726">
      <w:pPr>
        <w:autoSpaceDE w:val="0"/>
        <w:autoSpaceDN w:val="0"/>
        <w:adjustRightInd w:val="0"/>
        <w:spacing w:before="120" w:after="0" w:line="240" w:lineRule="auto"/>
        <w:ind w:left="426"/>
        <w:jc w:val="left"/>
        <w:rPr>
          <w:rFonts w:eastAsiaTheme="minorEastAsia"/>
          <w:color w:val="000000"/>
          <w:sz w:val="23"/>
          <w:szCs w:val="23"/>
          <w:lang w:eastAsia="en-AU"/>
        </w:rPr>
      </w:pPr>
      <w:r w:rsidRPr="00EC6726">
        <w:rPr>
          <w:rFonts w:eastAsiaTheme="minorEastAsia"/>
          <w:color w:val="000000"/>
          <w:sz w:val="23"/>
          <w:szCs w:val="23"/>
          <w:lang w:eastAsia="en-AU"/>
        </w:rPr>
        <w:t>In this notice, unless the contrary intention appears—</w:t>
      </w:r>
    </w:p>
    <w:p w14:paraId="3530ACFC" w14:textId="77777777" w:rsidR="00EC6726" w:rsidRPr="00EC6726" w:rsidRDefault="00EC6726" w:rsidP="00EC6726">
      <w:pPr>
        <w:autoSpaceDE w:val="0"/>
        <w:autoSpaceDN w:val="0"/>
        <w:adjustRightInd w:val="0"/>
        <w:spacing w:before="120" w:after="0" w:line="240" w:lineRule="auto"/>
        <w:ind w:left="567"/>
        <w:jc w:val="left"/>
        <w:rPr>
          <w:rFonts w:eastAsiaTheme="minorEastAsia"/>
          <w:color w:val="000000"/>
          <w:sz w:val="23"/>
          <w:szCs w:val="23"/>
          <w:lang w:eastAsia="en-AU"/>
        </w:rPr>
      </w:pPr>
      <w:r w:rsidRPr="00EC6726">
        <w:rPr>
          <w:rFonts w:eastAsiaTheme="minorEastAsia"/>
          <w:b/>
          <w:bCs/>
          <w:i/>
          <w:iCs/>
          <w:color w:val="000000"/>
          <w:sz w:val="23"/>
          <w:szCs w:val="23"/>
          <w:lang w:eastAsia="en-AU"/>
        </w:rPr>
        <w:t>Act</w:t>
      </w:r>
      <w:r w:rsidRPr="00EC6726">
        <w:rPr>
          <w:rFonts w:eastAsiaTheme="minorEastAsia"/>
          <w:color w:val="000000"/>
          <w:sz w:val="23"/>
          <w:szCs w:val="23"/>
          <w:lang w:eastAsia="en-AU"/>
        </w:rPr>
        <w:t xml:space="preserve"> means the </w:t>
      </w:r>
      <w:hyperlink r:id="rId22" w:history="1">
        <w:r w:rsidRPr="00EC6726">
          <w:rPr>
            <w:rFonts w:eastAsiaTheme="minorEastAsia"/>
            <w:i/>
            <w:iCs/>
            <w:color w:val="000000"/>
            <w:sz w:val="23"/>
            <w:szCs w:val="23"/>
            <w:lang w:eastAsia="en-AU"/>
          </w:rPr>
          <w:t>National Parks and Wildlife Act 1972</w:t>
        </w:r>
      </w:hyperlink>
      <w:r w:rsidRPr="00EC6726">
        <w:rPr>
          <w:rFonts w:eastAsiaTheme="minorEastAsia"/>
          <w:color w:val="000000"/>
          <w:sz w:val="23"/>
          <w:szCs w:val="23"/>
          <w:lang w:eastAsia="en-AU"/>
        </w:rPr>
        <w:t>;</w:t>
      </w:r>
    </w:p>
    <w:p w14:paraId="2769035C" w14:textId="77777777" w:rsidR="00EC6726" w:rsidRPr="00EC6726" w:rsidRDefault="00EC6726" w:rsidP="00EC6726">
      <w:pPr>
        <w:autoSpaceDE w:val="0"/>
        <w:autoSpaceDN w:val="0"/>
        <w:adjustRightInd w:val="0"/>
        <w:spacing w:before="120" w:after="0" w:line="240" w:lineRule="auto"/>
        <w:ind w:left="567"/>
        <w:jc w:val="left"/>
        <w:rPr>
          <w:rFonts w:eastAsiaTheme="minorEastAsia"/>
          <w:color w:val="000000"/>
          <w:sz w:val="23"/>
          <w:szCs w:val="23"/>
          <w:lang w:eastAsia="en-AU"/>
        </w:rPr>
      </w:pPr>
      <w:r w:rsidRPr="00EC6726">
        <w:rPr>
          <w:rFonts w:eastAsiaTheme="minorEastAsia"/>
          <w:b/>
          <w:bCs/>
          <w:i/>
          <w:iCs/>
          <w:color w:val="000000"/>
          <w:sz w:val="23"/>
          <w:szCs w:val="23"/>
          <w:lang w:eastAsia="en-AU"/>
        </w:rPr>
        <w:t>regulations</w:t>
      </w:r>
      <w:r w:rsidRPr="00EC6726">
        <w:rPr>
          <w:rFonts w:eastAsiaTheme="minorEastAsia"/>
          <w:color w:val="000000"/>
          <w:sz w:val="23"/>
          <w:szCs w:val="23"/>
          <w:lang w:eastAsia="en-AU"/>
        </w:rPr>
        <w:t xml:space="preserve"> means the </w:t>
      </w:r>
      <w:hyperlink r:id="rId23" w:history="1">
        <w:r w:rsidRPr="00EC6726">
          <w:rPr>
            <w:rFonts w:eastAsiaTheme="minorEastAsia"/>
            <w:i/>
            <w:iCs/>
            <w:color w:val="000000"/>
            <w:sz w:val="23"/>
            <w:szCs w:val="23"/>
            <w:lang w:eastAsia="en-AU"/>
          </w:rPr>
          <w:t>National Parks and Wildlife (Hunting) Regulations 2011</w:t>
        </w:r>
      </w:hyperlink>
      <w:r w:rsidRPr="00EC6726">
        <w:rPr>
          <w:rFonts w:eastAsiaTheme="minorEastAsia"/>
          <w:color w:val="000000"/>
          <w:sz w:val="23"/>
          <w:szCs w:val="23"/>
          <w:lang w:eastAsia="en-AU"/>
        </w:rPr>
        <w:t>.</w:t>
      </w:r>
    </w:p>
    <w:p w14:paraId="02B2A2AA" w14:textId="77777777" w:rsidR="00EC6726" w:rsidRPr="00EC6726" w:rsidRDefault="00EC6726" w:rsidP="00EC6726">
      <w:pPr>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EC6726">
        <w:rPr>
          <w:rFonts w:eastAsiaTheme="minorEastAsia"/>
          <w:b/>
          <w:bCs/>
          <w:color w:val="000000"/>
          <w:sz w:val="26"/>
          <w:szCs w:val="26"/>
          <w:lang w:eastAsia="en-AU"/>
        </w:rPr>
        <w:t>4—Fees</w:t>
      </w:r>
    </w:p>
    <w:p w14:paraId="1A16F6C1" w14:textId="77777777" w:rsidR="00EC6726" w:rsidRPr="00EC6726" w:rsidRDefault="00EC6726" w:rsidP="00EC6726">
      <w:pPr>
        <w:autoSpaceDE w:val="0"/>
        <w:autoSpaceDN w:val="0"/>
        <w:adjustRightInd w:val="0"/>
        <w:spacing w:before="120" w:after="0" w:line="240" w:lineRule="auto"/>
        <w:ind w:left="426"/>
        <w:jc w:val="left"/>
        <w:rPr>
          <w:rFonts w:eastAsiaTheme="minorEastAsia"/>
          <w:color w:val="000000"/>
          <w:sz w:val="23"/>
          <w:szCs w:val="23"/>
          <w:lang w:eastAsia="en-AU"/>
        </w:rPr>
      </w:pPr>
      <w:r w:rsidRPr="00EC6726">
        <w:rPr>
          <w:rFonts w:eastAsiaTheme="minorEastAsia"/>
          <w:color w:val="000000"/>
          <w:sz w:val="23"/>
          <w:szCs w:val="23"/>
          <w:lang w:eastAsia="en-AU"/>
        </w:rPr>
        <w:t>The fees set out in Schedule 1 are prescribed for the purposes of the Act and the regulations.</w:t>
      </w:r>
    </w:p>
    <w:p w14:paraId="7E04F6EB" w14:textId="77777777" w:rsidR="00EC6726" w:rsidRPr="00EC6726" w:rsidRDefault="00EC6726" w:rsidP="00EC6726">
      <w:pPr>
        <w:autoSpaceDE w:val="0"/>
        <w:autoSpaceDN w:val="0"/>
        <w:adjustRightInd w:val="0"/>
        <w:spacing w:before="280" w:after="0" w:line="240" w:lineRule="auto"/>
        <w:ind w:left="567" w:hanging="567"/>
        <w:jc w:val="left"/>
        <w:rPr>
          <w:rFonts w:eastAsiaTheme="minorEastAsia"/>
          <w:b/>
          <w:bCs/>
          <w:color w:val="000000"/>
          <w:sz w:val="32"/>
          <w:szCs w:val="32"/>
          <w:lang w:eastAsia="en-AU"/>
        </w:rPr>
      </w:pPr>
      <w:r w:rsidRPr="00EC6726">
        <w:rPr>
          <w:rFonts w:eastAsiaTheme="minorEastAsia"/>
          <w:b/>
          <w:bCs/>
          <w:color w:val="000000"/>
          <w:sz w:val="32"/>
          <w:szCs w:val="32"/>
          <w:lang w:eastAsia="en-AU"/>
        </w:rPr>
        <w:lastRenderedPageBreak/>
        <w:t>Schedule 1—Fees</w:t>
      </w:r>
    </w:p>
    <w:p w14:paraId="1F819E0B" w14:textId="77777777" w:rsidR="00EC6726" w:rsidRPr="00EC6726" w:rsidRDefault="00EC6726" w:rsidP="00EC6726">
      <w:pPr>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EC6726">
        <w:rPr>
          <w:rFonts w:eastAsiaTheme="minorEastAsia"/>
          <w:b/>
          <w:bCs/>
          <w:color w:val="000000"/>
          <w:sz w:val="26"/>
          <w:szCs w:val="26"/>
          <w:lang w:eastAsia="en-AU"/>
        </w:rPr>
        <w:t>1—Interpretation</w:t>
      </w:r>
    </w:p>
    <w:p w14:paraId="4A98CB76" w14:textId="77777777" w:rsidR="00EC6726" w:rsidRPr="00EC6726" w:rsidRDefault="00EC6726" w:rsidP="00EC6726">
      <w:pPr>
        <w:autoSpaceDE w:val="0"/>
        <w:autoSpaceDN w:val="0"/>
        <w:adjustRightInd w:val="0"/>
        <w:spacing w:before="120" w:after="0" w:line="240" w:lineRule="auto"/>
        <w:ind w:left="426"/>
        <w:jc w:val="left"/>
        <w:rPr>
          <w:rFonts w:eastAsiaTheme="minorEastAsia"/>
          <w:color w:val="000000"/>
          <w:sz w:val="23"/>
          <w:szCs w:val="23"/>
          <w:lang w:eastAsia="en-AU"/>
        </w:rPr>
      </w:pPr>
      <w:r w:rsidRPr="00EC6726">
        <w:rPr>
          <w:rFonts w:eastAsiaTheme="minorEastAsia"/>
          <w:color w:val="000000"/>
          <w:sz w:val="23"/>
          <w:szCs w:val="23"/>
          <w:lang w:eastAsia="en-AU"/>
        </w:rPr>
        <w:t>In this Schedule—</w:t>
      </w:r>
    </w:p>
    <w:p w14:paraId="62C241EF" w14:textId="77777777" w:rsidR="00EC6726" w:rsidRPr="00EC6726" w:rsidRDefault="00EC6726" w:rsidP="00EC6726">
      <w:pPr>
        <w:autoSpaceDE w:val="0"/>
        <w:autoSpaceDN w:val="0"/>
        <w:adjustRightInd w:val="0"/>
        <w:spacing w:before="120" w:after="0" w:line="240" w:lineRule="auto"/>
        <w:ind w:left="567"/>
        <w:jc w:val="left"/>
        <w:rPr>
          <w:rFonts w:eastAsiaTheme="minorEastAsia"/>
          <w:color w:val="000000"/>
          <w:sz w:val="23"/>
          <w:szCs w:val="23"/>
          <w:lang w:eastAsia="en-AU"/>
        </w:rPr>
      </w:pPr>
      <w:r w:rsidRPr="00EC6726">
        <w:rPr>
          <w:rFonts w:eastAsiaTheme="minorEastAsia"/>
          <w:b/>
          <w:bCs/>
          <w:i/>
          <w:iCs/>
          <w:color w:val="000000"/>
          <w:sz w:val="23"/>
          <w:szCs w:val="23"/>
          <w:lang w:eastAsia="en-AU"/>
        </w:rPr>
        <w:t>concession cardholder</w:t>
      </w:r>
      <w:r w:rsidRPr="00EC6726">
        <w:rPr>
          <w:rFonts w:eastAsiaTheme="minorEastAsia"/>
          <w:color w:val="000000"/>
          <w:sz w:val="23"/>
          <w:szCs w:val="23"/>
          <w:lang w:eastAsia="en-AU"/>
        </w:rPr>
        <w:t xml:space="preserve"> means a person who is the holder of—</w:t>
      </w:r>
    </w:p>
    <w:p w14:paraId="51686662" w14:textId="77777777" w:rsidR="00EC6726" w:rsidRPr="00EC6726" w:rsidRDefault="00EC6726" w:rsidP="00EC6726">
      <w:pPr>
        <w:autoSpaceDE w:val="0"/>
        <w:autoSpaceDN w:val="0"/>
        <w:adjustRightInd w:val="0"/>
        <w:spacing w:before="120" w:after="0" w:line="240" w:lineRule="auto"/>
        <w:ind w:left="1134" w:hanging="425"/>
        <w:jc w:val="left"/>
        <w:rPr>
          <w:rFonts w:eastAsiaTheme="minorEastAsia"/>
          <w:color w:val="000000"/>
          <w:sz w:val="23"/>
          <w:szCs w:val="23"/>
          <w:lang w:eastAsia="en-AU"/>
        </w:rPr>
      </w:pPr>
      <w:r w:rsidRPr="00EC6726">
        <w:rPr>
          <w:rFonts w:eastAsiaTheme="minorEastAsia"/>
          <w:color w:val="000000"/>
          <w:sz w:val="23"/>
          <w:szCs w:val="23"/>
          <w:lang w:eastAsia="en-AU"/>
        </w:rPr>
        <w:t>(a)</w:t>
      </w:r>
      <w:r w:rsidRPr="00EC6726">
        <w:rPr>
          <w:rFonts w:eastAsiaTheme="minorEastAsia"/>
          <w:color w:val="000000"/>
          <w:sz w:val="23"/>
          <w:szCs w:val="23"/>
          <w:lang w:eastAsia="en-AU"/>
        </w:rPr>
        <w:tab/>
        <w:t xml:space="preserve">a current concession card issued by Centrelink or the administrative unit of the Public Service that is, under a Minister, responsible for the administration of the </w:t>
      </w:r>
      <w:hyperlink r:id="rId24" w:history="1">
        <w:r w:rsidRPr="00EC6726">
          <w:rPr>
            <w:rFonts w:eastAsiaTheme="minorEastAsia"/>
            <w:i/>
            <w:iCs/>
            <w:color w:val="000000"/>
            <w:sz w:val="23"/>
            <w:szCs w:val="23"/>
            <w:lang w:eastAsia="en-AU"/>
          </w:rPr>
          <w:t>Family and Community Services Act 1972</w:t>
        </w:r>
      </w:hyperlink>
      <w:r w:rsidRPr="00EC6726">
        <w:rPr>
          <w:rFonts w:eastAsiaTheme="minorEastAsia"/>
          <w:color w:val="000000"/>
          <w:sz w:val="23"/>
          <w:szCs w:val="23"/>
          <w:lang w:eastAsia="en-AU"/>
        </w:rPr>
        <w:t>; or</w:t>
      </w:r>
    </w:p>
    <w:p w14:paraId="2D2CA168" w14:textId="77777777" w:rsidR="00EC6726" w:rsidRPr="00EC6726" w:rsidRDefault="00EC6726" w:rsidP="00EC6726">
      <w:pPr>
        <w:autoSpaceDE w:val="0"/>
        <w:autoSpaceDN w:val="0"/>
        <w:adjustRightInd w:val="0"/>
        <w:spacing w:before="120" w:after="0" w:line="240" w:lineRule="auto"/>
        <w:ind w:left="1134" w:hanging="425"/>
        <w:jc w:val="left"/>
        <w:rPr>
          <w:rFonts w:eastAsiaTheme="minorEastAsia"/>
          <w:color w:val="000000"/>
          <w:sz w:val="23"/>
          <w:szCs w:val="23"/>
          <w:lang w:eastAsia="en-AU"/>
        </w:rPr>
      </w:pPr>
      <w:r w:rsidRPr="00EC6726">
        <w:rPr>
          <w:rFonts w:eastAsiaTheme="minorEastAsia"/>
          <w:color w:val="000000"/>
          <w:sz w:val="23"/>
          <w:szCs w:val="23"/>
          <w:lang w:eastAsia="en-AU"/>
        </w:rPr>
        <w:t>(b)</w:t>
      </w:r>
      <w:r w:rsidRPr="00EC6726">
        <w:rPr>
          <w:rFonts w:eastAsiaTheme="minorEastAsia"/>
          <w:color w:val="000000"/>
          <w:sz w:val="23"/>
          <w:szCs w:val="23"/>
          <w:lang w:eastAsia="en-AU"/>
        </w:rPr>
        <w:tab/>
        <w:t>a current student identification card issued to a student of a secondary or tertiary educational institution by that institution;</w:t>
      </w:r>
    </w:p>
    <w:p w14:paraId="2438EA86" w14:textId="77777777" w:rsidR="00EC6726" w:rsidRPr="00EC6726" w:rsidRDefault="00EC6726" w:rsidP="00EC6726">
      <w:pPr>
        <w:autoSpaceDE w:val="0"/>
        <w:autoSpaceDN w:val="0"/>
        <w:adjustRightInd w:val="0"/>
        <w:spacing w:before="120" w:after="0" w:line="240" w:lineRule="auto"/>
        <w:ind w:left="567"/>
        <w:jc w:val="left"/>
        <w:rPr>
          <w:rFonts w:eastAsiaTheme="minorEastAsia"/>
          <w:color w:val="000000"/>
          <w:sz w:val="23"/>
          <w:szCs w:val="23"/>
          <w:lang w:eastAsia="en-AU"/>
        </w:rPr>
      </w:pPr>
      <w:r w:rsidRPr="00EC6726">
        <w:rPr>
          <w:rFonts w:eastAsiaTheme="minorEastAsia"/>
          <w:b/>
          <w:bCs/>
          <w:i/>
          <w:iCs/>
          <w:color w:val="000000"/>
          <w:sz w:val="23"/>
          <w:szCs w:val="23"/>
          <w:lang w:eastAsia="en-AU"/>
        </w:rPr>
        <w:t>junior</w:t>
      </w:r>
      <w:r w:rsidRPr="00EC6726">
        <w:rPr>
          <w:rFonts w:eastAsiaTheme="minorEastAsia"/>
          <w:color w:val="000000"/>
          <w:sz w:val="23"/>
          <w:szCs w:val="23"/>
          <w:lang w:eastAsia="en-AU"/>
        </w:rPr>
        <w:t xml:space="preserve"> means a person of or over the age of 14 years but under the age of 18 years;</w:t>
      </w:r>
    </w:p>
    <w:p w14:paraId="3689E50E" w14:textId="77777777" w:rsidR="00EC6726" w:rsidRPr="00EC6726" w:rsidRDefault="00EC6726" w:rsidP="00EC6726">
      <w:pPr>
        <w:autoSpaceDE w:val="0"/>
        <w:autoSpaceDN w:val="0"/>
        <w:adjustRightInd w:val="0"/>
        <w:spacing w:before="120" w:after="0" w:line="240" w:lineRule="auto"/>
        <w:ind w:left="567"/>
        <w:jc w:val="left"/>
        <w:rPr>
          <w:rFonts w:eastAsiaTheme="minorEastAsia"/>
          <w:color w:val="000000"/>
          <w:sz w:val="23"/>
          <w:szCs w:val="23"/>
          <w:lang w:eastAsia="en-AU"/>
        </w:rPr>
      </w:pPr>
      <w:r w:rsidRPr="00EC6726">
        <w:rPr>
          <w:rFonts w:eastAsiaTheme="minorEastAsia"/>
          <w:b/>
          <w:bCs/>
          <w:i/>
          <w:iCs/>
          <w:color w:val="000000"/>
          <w:sz w:val="23"/>
          <w:szCs w:val="23"/>
          <w:lang w:eastAsia="en-AU"/>
        </w:rPr>
        <w:t>open season</w:t>
      </w:r>
      <w:r w:rsidRPr="00EC6726">
        <w:rPr>
          <w:rFonts w:eastAsiaTheme="minorEastAsia"/>
          <w:color w:val="000000"/>
          <w:sz w:val="23"/>
          <w:szCs w:val="23"/>
          <w:lang w:eastAsia="en-AU"/>
        </w:rPr>
        <w:t>, in relation to a permit granted under Section 68A of the Act, means a permit—</w:t>
      </w:r>
    </w:p>
    <w:p w14:paraId="632523C6" w14:textId="77777777" w:rsidR="00EC6726" w:rsidRPr="00EC6726" w:rsidRDefault="00EC6726" w:rsidP="00EC6726">
      <w:pPr>
        <w:autoSpaceDE w:val="0"/>
        <w:autoSpaceDN w:val="0"/>
        <w:adjustRightInd w:val="0"/>
        <w:spacing w:before="120" w:after="0" w:line="240" w:lineRule="auto"/>
        <w:ind w:left="1134" w:hanging="425"/>
        <w:jc w:val="left"/>
        <w:rPr>
          <w:rFonts w:eastAsiaTheme="minorEastAsia"/>
          <w:color w:val="000000"/>
          <w:sz w:val="23"/>
          <w:szCs w:val="23"/>
          <w:lang w:eastAsia="en-AU"/>
        </w:rPr>
      </w:pPr>
      <w:r w:rsidRPr="00EC6726">
        <w:rPr>
          <w:rFonts w:eastAsiaTheme="minorEastAsia"/>
          <w:color w:val="000000"/>
          <w:sz w:val="23"/>
          <w:szCs w:val="23"/>
          <w:lang w:eastAsia="en-AU"/>
        </w:rPr>
        <w:t>(a)</w:t>
      </w:r>
      <w:r w:rsidRPr="00EC6726">
        <w:rPr>
          <w:rFonts w:eastAsiaTheme="minorEastAsia"/>
          <w:color w:val="000000"/>
          <w:sz w:val="23"/>
          <w:szCs w:val="23"/>
          <w:lang w:eastAsia="en-AU"/>
        </w:rPr>
        <w:tab/>
        <w:t>that is granted on or after the declaration of an open season under Section 52 of the Act for the hunting of animals of the species to which the permit relates in a part of the State to which the permit applies; and</w:t>
      </w:r>
    </w:p>
    <w:p w14:paraId="22DA4D08" w14:textId="77777777" w:rsidR="00EC6726" w:rsidRPr="00EC6726" w:rsidRDefault="00EC6726" w:rsidP="00EC6726">
      <w:pPr>
        <w:autoSpaceDE w:val="0"/>
        <w:autoSpaceDN w:val="0"/>
        <w:adjustRightInd w:val="0"/>
        <w:spacing w:before="120" w:after="0" w:line="240" w:lineRule="auto"/>
        <w:ind w:left="1134" w:hanging="425"/>
        <w:jc w:val="left"/>
        <w:rPr>
          <w:rFonts w:eastAsiaTheme="minorEastAsia"/>
          <w:color w:val="000000"/>
          <w:sz w:val="23"/>
          <w:szCs w:val="23"/>
          <w:lang w:eastAsia="en-AU"/>
        </w:rPr>
      </w:pPr>
      <w:r w:rsidRPr="00EC6726">
        <w:rPr>
          <w:rFonts w:eastAsiaTheme="minorEastAsia"/>
          <w:color w:val="000000"/>
          <w:sz w:val="23"/>
          <w:szCs w:val="23"/>
          <w:lang w:eastAsia="en-AU"/>
        </w:rPr>
        <w:t>(b)</w:t>
      </w:r>
      <w:r w:rsidRPr="00EC6726">
        <w:rPr>
          <w:rFonts w:eastAsiaTheme="minorEastAsia"/>
          <w:color w:val="000000"/>
          <w:sz w:val="23"/>
          <w:szCs w:val="23"/>
          <w:lang w:eastAsia="en-AU"/>
        </w:rPr>
        <w:tab/>
        <w:t>that is for a period ending at the end of that open season;</w:t>
      </w:r>
    </w:p>
    <w:p w14:paraId="2BC9E72D" w14:textId="77777777" w:rsidR="00EC6726" w:rsidRPr="00EC6726" w:rsidRDefault="00EC6726" w:rsidP="00EC6726">
      <w:pPr>
        <w:autoSpaceDE w:val="0"/>
        <w:autoSpaceDN w:val="0"/>
        <w:adjustRightInd w:val="0"/>
        <w:spacing w:before="120" w:after="0" w:line="240" w:lineRule="auto"/>
        <w:ind w:left="567"/>
        <w:jc w:val="left"/>
        <w:rPr>
          <w:rFonts w:eastAsiaTheme="minorEastAsia"/>
          <w:color w:val="000000"/>
          <w:sz w:val="23"/>
          <w:szCs w:val="23"/>
          <w:lang w:eastAsia="en-AU"/>
        </w:rPr>
      </w:pPr>
      <w:proofErr w:type="spellStart"/>
      <w:r w:rsidRPr="00EC6726">
        <w:rPr>
          <w:rFonts w:eastAsiaTheme="minorEastAsia"/>
          <w:b/>
          <w:bCs/>
          <w:i/>
          <w:iCs/>
          <w:color w:val="000000"/>
          <w:sz w:val="23"/>
          <w:szCs w:val="23"/>
          <w:lang w:eastAsia="en-AU"/>
        </w:rPr>
        <w:t>subjunior</w:t>
      </w:r>
      <w:proofErr w:type="spellEnd"/>
      <w:r w:rsidRPr="00EC6726">
        <w:rPr>
          <w:rFonts w:eastAsiaTheme="minorEastAsia"/>
          <w:color w:val="000000"/>
          <w:sz w:val="23"/>
          <w:szCs w:val="23"/>
          <w:lang w:eastAsia="en-AU"/>
        </w:rPr>
        <w:t xml:space="preserve"> means a person under 14 years of age.</w:t>
      </w:r>
    </w:p>
    <w:p w14:paraId="7BB676D2" w14:textId="77777777" w:rsidR="00EC6726" w:rsidRPr="00EC6726" w:rsidRDefault="00EC6726" w:rsidP="00EC6726">
      <w:pPr>
        <w:keepNext/>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EC6726">
        <w:rPr>
          <w:rFonts w:eastAsiaTheme="minorEastAsia"/>
          <w:b/>
          <w:bCs/>
          <w:color w:val="000000"/>
          <w:sz w:val="26"/>
          <w:szCs w:val="26"/>
          <w:lang w:eastAsia="en-AU"/>
        </w:rPr>
        <w:t>2—Fees</w:t>
      </w:r>
    </w:p>
    <w:p w14:paraId="21F94F73" w14:textId="77777777" w:rsidR="00EC6726" w:rsidRPr="00EC6726" w:rsidRDefault="00EC6726" w:rsidP="00EC6726">
      <w:pPr>
        <w:keepNext/>
        <w:autoSpaceDE w:val="0"/>
        <w:autoSpaceDN w:val="0"/>
        <w:adjustRightInd w:val="0"/>
        <w:spacing w:before="120" w:after="0" w:line="240" w:lineRule="auto"/>
        <w:ind w:left="425"/>
        <w:jc w:val="left"/>
        <w:rPr>
          <w:rFonts w:eastAsiaTheme="minorEastAsia"/>
          <w:color w:val="000000"/>
          <w:sz w:val="23"/>
          <w:szCs w:val="23"/>
          <w:lang w:eastAsia="en-AU"/>
        </w:rPr>
      </w:pPr>
      <w:r w:rsidRPr="00EC6726">
        <w:rPr>
          <w:rFonts w:eastAsiaTheme="minorEastAsia"/>
          <w:color w:val="000000"/>
          <w:sz w:val="23"/>
          <w:szCs w:val="23"/>
          <w:lang w:eastAsia="en-AU"/>
        </w:rPr>
        <w:t>Fees payable on application for the grant of a permit under Section 68A of the Act:</w:t>
      </w:r>
    </w:p>
    <w:p w14:paraId="7469BDAD" w14:textId="77777777" w:rsidR="00EC6726" w:rsidRPr="00EC6726" w:rsidRDefault="00EC6726" w:rsidP="00EC6726">
      <w:pPr>
        <w:keepNext/>
        <w:autoSpaceDE w:val="0"/>
        <w:autoSpaceDN w:val="0"/>
        <w:adjustRightInd w:val="0"/>
        <w:spacing w:before="120" w:after="0" w:line="240" w:lineRule="auto"/>
        <w:ind w:left="794"/>
        <w:jc w:val="left"/>
        <w:rPr>
          <w:rFonts w:eastAsiaTheme="minorEastAsia"/>
          <w:color w:val="000000"/>
          <w:sz w:val="2"/>
          <w:szCs w:val="2"/>
          <w:lang w:eastAsia="en-AU"/>
        </w:rPr>
      </w:pPr>
    </w:p>
    <w:tbl>
      <w:tblPr>
        <w:tblW w:w="0" w:type="auto"/>
        <w:tblInd w:w="567" w:type="dxa"/>
        <w:tblLayout w:type="fixed"/>
        <w:tblCellMar>
          <w:left w:w="60" w:type="dxa"/>
          <w:right w:w="60" w:type="dxa"/>
        </w:tblCellMar>
        <w:tblLook w:val="0000" w:firstRow="0" w:lastRow="0" w:firstColumn="0" w:lastColumn="0" w:noHBand="0" w:noVBand="0"/>
      </w:tblPr>
      <w:tblGrid>
        <w:gridCol w:w="426"/>
        <w:gridCol w:w="6945"/>
        <w:gridCol w:w="908"/>
      </w:tblGrid>
      <w:tr w:rsidR="00EC6726" w:rsidRPr="00EC6726" w14:paraId="21ADD916" w14:textId="77777777" w:rsidTr="000E227A">
        <w:tc>
          <w:tcPr>
            <w:tcW w:w="7371" w:type="dxa"/>
            <w:gridSpan w:val="2"/>
            <w:tcBorders>
              <w:top w:val="nil"/>
              <w:left w:val="nil"/>
              <w:bottom w:val="nil"/>
              <w:right w:val="nil"/>
            </w:tcBorders>
            <w:vAlign w:val="center"/>
          </w:tcPr>
          <w:p w14:paraId="179E79F4" w14:textId="77777777" w:rsidR="00EC6726" w:rsidRPr="00EC6726" w:rsidRDefault="00EC6726" w:rsidP="00EC6726">
            <w:pPr>
              <w:keepNext/>
              <w:autoSpaceDE w:val="0"/>
              <w:autoSpaceDN w:val="0"/>
              <w:adjustRightInd w:val="0"/>
              <w:spacing w:before="120" w:after="0" w:line="240" w:lineRule="auto"/>
              <w:jc w:val="left"/>
              <w:rPr>
                <w:rFonts w:eastAsiaTheme="minorEastAsia"/>
                <w:color w:val="000000"/>
                <w:sz w:val="20"/>
                <w:szCs w:val="20"/>
                <w:lang w:eastAsia="en-AU"/>
              </w:rPr>
            </w:pPr>
            <w:r w:rsidRPr="00EC6726">
              <w:rPr>
                <w:rFonts w:eastAsiaTheme="minorEastAsia"/>
                <w:b/>
                <w:bCs/>
                <w:color w:val="000000"/>
                <w:sz w:val="20"/>
                <w:szCs w:val="20"/>
                <w:lang w:eastAsia="en-AU"/>
              </w:rPr>
              <w:t>Permit</w:t>
            </w:r>
          </w:p>
        </w:tc>
        <w:tc>
          <w:tcPr>
            <w:tcW w:w="908" w:type="dxa"/>
            <w:tcBorders>
              <w:top w:val="nil"/>
              <w:left w:val="nil"/>
              <w:bottom w:val="nil"/>
              <w:right w:val="nil"/>
            </w:tcBorders>
            <w:vAlign w:val="center"/>
          </w:tcPr>
          <w:p w14:paraId="35B952E5" w14:textId="77777777" w:rsidR="00EC6726" w:rsidRPr="00EC6726" w:rsidRDefault="00EC6726" w:rsidP="00EC6726">
            <w:pPr>
              <w:keepNext/>
              <w:autoSpaceDE w:val="0"/>
              <w:autoSpaceDN w:val="0"/>
              <w:adjustRightInd w:val="0"/>
              <w:spacing w:before="120" w:after="0" w:line="240" w:lineRule="auto"/>
              <w:jc w:val="right"/>
              <w:rPr>
                <w:rFonts w:eastAsiaTheme="minorEastAsia"/>
                <w:color w:val="000000"/>
                <w:sz w:val="20"/>
                <w:szCs w:val="20"/>
                <w:lang w:eastAsia="en-AU"/>
              </w:rPr>
            </w:pPr>
            <w:r w:rsidRPr="00EC6726">
              <w:rPr>
                <w:rFonts w:eastAsiaTheme="minorEastAsia"/>
                <w:b/>
                <w:bCs/>
                <w:color w:val="000000"/>
                <w:sz w:val="20"/>
                <w:szCs w:val="20"/>
                <w:lang w:eastAsia="en-AU"/>
              </w:rPr>
              <w:t>Fee</w:t>
            </w:r>
          </w:p>
        </w:tc>
      </w:tr>
      <w:tr w:rsidR="00EC6726" w:rsidRPr="00EC6726" w14:paraId="5995C598" w14:textId="77777777" w:rsidTr="000E227A">
        <w:tc>
          <w:tcPr>
            <w:tcW w:w="426" w:type="dxa"/>
            <w:tcBorders>
              <w:top w:val="nil"/>
              <w:left w:val="nil"/>
              <w:bottom w:val="nil"/>
              <w:right w:val="nil"/>
            </w:tcBorders>
            <w:vAlign w:val="center"/>
          </w:tcPr>
          <w:p w14:paraId="256DD5D2" w14:textId="77777777" w:rsidR="00EC6726" w:rsidRPr="00EC6726" w:rsidRDefault="00EC6726" w:rsidP="00EC6726">
            <w:pPr>
              <w:keepNext/>
              <w:autoSpaceDE w:val="0"/>
              <w:autoSpaceDN w:val="0"/>
              <w:adjustRightInd w:val="0"/>
              <w:spacing w:before="120" w:after="0" w:line="240" w:lineRule="auto"/>
              <w:jc w:val="left"/>
              <w:rPr>
                <w:rFonts w:eastAsiaTheme="minorEastAsia"/>
                <w:color w:val="000000"/>
                <w:sz w:val="20"/>
                <w:szCs w:val="20"/>
                <w:lang w:eastAsia="en-AU"/>
              </w:rPr>
            </w:pPr>
            <w:r w:rsidRPr="00EC6726">
              <w:rPr>
                <w:rFonts w:eastAsiaTheme="minorEastAsia"/>
                <w:color w:val="000000"/>
                <w:sz w:val="20"/>
                <w:szCs w:val="20"/>
                <w:lang w:eastAsia="en-AU"/>
              </w:rPr>
              <w:t>1</w:t>
            </w:r>
          </w:p>
        </w:tc>
        <w:tc>
          <w:tcPr>
            <w:tcW w:w="6945" w:type="dxa"/>
            <w:tcBorders>
              <w:top w:val="nil"/>
              <w:left w:val="nil"/>
              <w:bottom w:val="nil"/>
              <w:right w:val="nil"/>
            </w:tcBorders>
            <w:vAlign w:val="center"/>
          </w:tcPr>
          <w:p w14:paraId="01B08EF1" w14:textId="77777777" w:rsidR="00EC6726" w:rsidRPr="00EC6726" w:rsidRDefault="00EC6726" w:rsidP="00EC6726">
            <w:pPr>
              <w:keepNext/>
              <w:autoSpaceDE w:val="0"/>
              <w:autoSpaceDN w:val="0"/>
              <w:adjustRightInd w:val="0"/>
              <w:spacing w:before="120" w:after="0" w:line="240" w:lineRule="auto"/>
              <w:jc w:val="left"/>
              <w:rPr>
                <w:rFonts w:eastAsiaTheme="minorEastAsia"/>
                <w:color w:val="000000"/>
                <w:sz w:val="20"/>
                <w:szCs w:val="20"/>
                <w:lang w:eastAsia="en-AU"/>
              </w:rPr>
            </w:pPr>
            <w:r w:rsidRPr="00EC6726">
              <w:rPr>
                <w:rFonts w:eastAsiaTheme="minorEastAsia"/>
                <w:color w:val="000000"/>
                <w:sz w:val="20"/>
                <w:szCs w:val="20"/>
                <w:lang w:eastAsia="en-AU"/>
              </w:rPr>
              <w:t>General hunting permit—</w:t>
            </w:r>
          </w:p>
        </w:tc>
        <w:tc>
          <w:tcPr>
            <w:tcW w:w="908" w:type="dxa"/>
            <w:tcBorders>
              <w:top w:val="nil"/>
              <w:left w:val="nil"/>
              <w:bottom w:val="nil"/>
              <w:right w:val="nil"/>
            </w:tcBorders>
            <w:vAlign w:val="center"/>
          </w:tcPr>
          <w:p w14:paraId="6D68691F" w14:textId="77777777" w:rsidR="00EC6726" w:rsidRPr="00EC6726" w:rsidRDefault="00EC6726" w:rsidP="00EC6726">
            <w:pPr>
              <w:keepNext/>
              <w:autoSpaceDE w:val="0"/>
              <w:autoSpaceDN w:val="0"/>
              <w:adjustRightInd w:val="0"/>
              <w:spacing w:before="120" w:after="0" w:line="240" w:lineRule="auto"/>
              <w:jc w:val="right"/>
              <w:rPr>
                <w:rFonts w:eastAsiaTheme="minorEastAsia"/>
                <w:color w:val="000000"/>
                <w:sz w:val="20"/>
                <w:szCs w:val="20"/>
                <w:lang w:eastAsia="en-AU"/>
              </w:rPr>
            </w:pPr>
          </w:p>
        </w:tc>
      </w:tr>
      <w:tr w:rsidR="00EC6726" w:rsidRPr="00EC6726" w14:paraId="036E4A52" w14:textId="77777777" w:rsidTr="000E227A">
        <w:tc>
          <w:tcPr>
            <w:tcW w:w="426" w:type="dxa"/>
            <w:tcBorders>
              <w:top w:val="nil"/>
              <w:left w:val="nil"/>
              <w:bottom w:val="nil"/>
              <w:right w:val="nil"/>
            </w:tcBorders>
            <w:vAlign w:val="center"/>
          </w:tcPr>
          <w:p w14:paraId="61CA4862" w14:textId="77777777" w:rsidR="00EC6726" w:rsidRPr="00EC6726" w:rsidRDefault="00EC6726" w:rsidP="00EC6726">
            <w:pPr>
              <w:keepNext/>
              <w:autoSpaceDE w:val="0"/>
              <w:autoSpaceDN w:val="0"/>
              <w:adjustRightInd w:val="0"/>
              <w:spacing w:before="120" w:after="0" w:line="240" w:lineRule="auto"/>
              <w:jc w:val="left"/>
              <w:rPr>
                <w:rFonts w:eastAsiaTheme="minorEastAsia"/>
                <w:color w:val="000000"/>
                <w:sz w:val="20"/>
                <w:szCs w:val="20"/>
                <w:lang w:eastAsia="en-AU"/>
              </w:rPr>
            </w:pPr>
          </w:p>
        </w:tc>
        <w:tc>
          <w:tcPr>
            <w:tcW w:w="6945" w:type="dxa"/>
            <w:tcBorders>
              <w:top w:val="nil"/>
              <w:left w:val="nil"/>
              <w:bottom w:val="nil"/>
              <w:right w:val="nil"/>
            </w:tcBorders>
            <w:vAlign w:val="center"/>
          </w:tcPr>
          <w:p w14:paraId="2847D495" w14:textId="77777777" w:rsidR="00EC6726" w:rsidRPr="00EC6726" w:rsidRDefault="00EC6726" w:rsidP="00EC6726">
            <w:pPr>
              <w:keepNext/>
              <w:autoSpaceDE w:val="0"/>
              <w:autoSpaceDN w:val="0"/>
              <w:adjustRightInd w:val="0"/>
              <w:spacing w:before="120" w:after="0" w:line="240" w:lineRule="auto"/>
              <w:ind w:left="593" w:hanging="454"/>
              <w:jc w:val="left"/>
              <w:rPr>
                <w:rFonts w:eastAsiaTheme="minorEastAsia"/>
                <w:color w:val="000000"/>
                <w:sz w:val="20"/>
                <w:szCs w:val="20"/>
                <w:lang w:eastAsia="en-AU"/>
              </w:rPr>
            </w:pPr>
            <w:r w:rsidRPr="00EC6726">
              <w:rPr>
                <w:rFonts w:eastAsiaTheme="minorEastAsia"/>
                <w:color w:val="000000"/>
                <w:sz w:val="20"/>
                <w:szCs w:val="20"/>
                <w:lang w:eastAsia="en-AU"/>
              </w:rPr>
              <w:t>(a)</w:t>
            </w:r>
            <w:r w:rsidRPr="00EC6726">
              <w:rPr>
                <w:rFonts w:eastAsiaTheme="minorEastAsia"/>
                <w:color w:val="000000"/>
                <w:sz w:val="20"/>
                <w:szCs w:val="20"/>
                <w:lang w:eastAsia="en-AU"/>
              </w:rPr>
              <w:tab/>
              <w:t>in the case of a concession cardholder or a junior</w:t>
            </w:r>
          </w:p>
        </w:tc>
        <w:tc>
          <w:tcPr>
            <w:tcW w:w="908" w:type="dxa"/>
            <w:tcBorders>
              <w:top w:val="nil"/>
              <w:left w:val="nil"/>
              <w:bottom w:val="nil"/>
              <w:right w:val="nil"/>
            </w:tcBorders>
            <w:vAlign w:val="center"/>
          </w:tcPr>
          <w:p w14:paraId="66B33111" w14:textId="77777777" w:rsidR="00EC6726" w:rsidRPr="00EC6726" w:rsidRDefault="00EC6726" w:rsidP="00EC6726">
            <w:pPr>
              <w:keepNext/>
              <w:autoSpaceDE w:val="0"/>
              <w:autoSpaceDN w:val="0"/>
              <w:adjustRightInd w:val="0"/>
              <w:spacing w:before="120" w:after="0" w:line="240" w:lineRule="auto"/>
              <w:jc w:val="right"/>
              <w:rPr>
                <w:rFonts w:eastAsiaTheme="minorEastAsia"/>
                <w:color w:val="000000"/>
                <w:sz w:val="20"/>
                <w:szCs w:val="20"/>
                <w:lang w:eastAsia="en-AU"/>
              </w:rPr>
            </w:pPr>
            <w:r w:rsidRPr="00EC6726">
              <w:rPr>
                <w:rFonts w:eastAsiaTheme="minorEastAsia"/>
                <w:color w:val="000000"/>
                <w:sz w:val="20"/>
                <w:szCs w:val="20"/>
                <w:lang w:eastAsia="en-AU"/>
              </w:rPr>
              <w:t>$15.30</w:t>
            </w:r>
          </w:p>
        </w:tc>
      </w:tr>
      <w:tr w:rsidR="00EC6726" w:rsidRPr="00EC6726" w14:paraId="13B834CD" w14:textId="77777777" w:rsidTr="000E227A">
        <w:tc>
          <w:tcPr>
            <w:tcW w:w="426" w:type="dxa"/>
            <w:tcBorders>
              <w:top w:val="nil"/>
              <w:left w:val="nil"/>
              <w:bottom w:val="nil"/>
              <w:right w:val="nil"/>
            </w:tcBorders>
            <w:vAlign w:val="center"/>
          </w:tcPr>
          <w:p w14:paraId="3925E9E8" w14:textId="77777777" w:rsidR="00EC6726" w:rsidRPr="00EC6726" w:rsidRDefault="00EC6726" w:rsidP="00EC6726">
            <w:pPr>
              <w:keepNext/>
              <w:autoSpaceDE w:val="0"/>
              <w:autoSpaceDN w:val="0"/>
              <w:adjustRightInd w:val="0"/>
              <w:spacing w:before="120" w:after="0" w:line="240" w:lineRule="auto"/>
              <w:jc w:val="left"/>
              <w:rPr>
                <w:rFonts w:eastAsiaTheme="minorEastAsia"/>
                <w:color w:val="000000"/>
                <w:sz w:val="20"/>
                <w:szCs w:val="20"/>
                <w:lang w:eastAsia="en-AU"/>
              </w:rPr>
            </w:pPr>
          </w:p>
        </w:tc>
        <w:tc>
          <w:tcPr>
            <w:tcW w:w="6945" w:type="dxa"/>
            <w:tcBorders>
              <w:top w:val="nil"/>
              <w:left w:val="nil"/>
              <w:bottom w:val="nil"/>
              <w:right w:val="nil"/>
            </w:tcBorders>
            <w:vAlign w:val="center"/>
          </w:tcPr>
          <w:p w14:paraId="7E8B3302" w14:textId="77777777" w:rsidR="00EC6726" w:rsidRPr="00EC6726" w:rsidRDefault="00EC6726" w:rsidP="00EC6726">
            <w:pPr>
              <w:keepNext/>
              <w:autoSpaceDE w:val="0"/>
              <w:autoSpaceDN w:val="0"/>
              <w:adjustRightInd w:val="0"/>
              <w:spacing w:before="120" w:after="0" w:line="240" w:lineRule="auto"/>
              <w:ind w:left="593" w:hanging="454"/>
              <w:jc w:val="left"/>
              <w:rPr>
                <w:rFonts w:eastAsiaTheme="minorEastAsia"/>
                <w:color w:val="000000"/>
                <w:sz w:val="20"/>
                <w:szCs w:val="20"/>
                <w:lang w:eastAsia="en-AU"/>
              </w:rPr>
            </w:pPr>
            <w:r w:rsidRPr="00EC6726">
              <w:rPr>
                <w:rFonts w:eastAsiaTheme="minorEastAsia"/>
                <w:color w:val="000000"/>
                <w:sz w:val="20"/>
                <w:szCs w:val="20"/>
                <w:lang w:eastAsia="en-AU"/>
              </w:rPr>
              <w:t>(b)</w:t>
            </w:r>
            <w:r w:rsidRPr="00EC6726">
              <w:rPr>
                <w:rFonts w:eastAsiaTheme="minorEastAsia"/>
                <w:color w:val="000000"/>
                <w:sz w:val="20"/>
                <w:szCs w:val="20"/>
                <w:lang w:eastAsia="en-AU"/>
              </w:rPr>
              <w:tab/>
              <w:t xml:space="preserve">in the case of a </w:t>
            </w:r>
            <w:proofErr w:type="spellStart"/>
            <w:r w:rsidRPr="00EC6726">
              <w:rPr>
                <w:rFonts w:eastAsiaTheme="minorEastAsia"/>
                <w:color w:val="000000"/>
                <w:sz w:val="20"/>
                <w:szCs w:val="20"/>
                <w:lang w:eastAsia="en-AU"/>
              </w:rPr>
              <w:t>subjunior</w:t>
            </w:r>
            <w:proofErr w:type="spellEnd"/>
          </w:p>
        </w:tc>
        <w:tc>
          <w:tcPr>
            <w:tcW w:w="908" w:type="dxa"/>
            <w:tcBorders>
              <w:top w:val="nil"/>
              <w:left w:val="nil"/>
              <w:bottom w:val="nil"/>
              <w:right w:val="nil"/>
            </w:tcBorders>
            <w:vAlign w:val="center"/>
          </w:tcPr>
          <w:p w14:paraId="3D30C9BD" w14:textId="77777777" w:rsidR="00EC6726" w:rsidRPr="00EC6726" w:rsidRDefault="00EC6726" w:rsidP="00EC6726">
            <w:pPr>
              <w:keepNext/>
              <w:autoSpaceDE w:val="0"/>
              <w:autoSpaceDN w:val="0"/>
              <w:adjustRightInd w:val="0"/>
              <w:spacing w:before="120" w:after="0" w:line="240" w:lineRule="auto"/>
              <w:jc w:val="right"/>
              <w:rPr>
                <w:rFonts w:eastAsiaTheme="minorEastAsia"/>
                <w:color w:val="000000"/>
                <w:sz w:val="20"/>
                <w:szCs w:val="20"/>
                <w:lang w:eastAsia="en-AU"/>
              </w:rPr>
            </w:pPr>
            <w:r w:rsidRPr="00EC6726">
              <w:rPr>
                <w:rFonts w:eastAsiaTheme="minorEastAsia"/>
                <w:color w:val="000000"/>
                <w:sz w:val="20"/>
                <w:szCs w:val="20"/>
                <w:lang w:eastAsia="en-AU"/>
              </w:rPr>
              <w:t>$9.70</w:t>
            </w:r>
          </w:p>
        </w:tc>
      </w:tr>
      <w:tr w:rsidR="00EC6726" w:rsidRPr="00EC6726" w14:paraId="69443C6E" w14:textId="77777777" w:rsidTr="000E227A">
        <w:tc>
          <w:tcPr>
            <w:tcW w:w="426" w:type="dxa"/>
            <w:tcBorders>
              <w:top w:val="nil"/>
              <w:left w:val="nil"/>
              <w:bottom w:val="nil"/>
              <w:right w:val="nil"/>
            </w:tcBorders>
            <w:vAlign w:val="center"/>
          </w:tcPr>
          <w:p w14:paraId="1CCE477C" w14:textId="77777777" w:rsidR="00EC6726" w:rsidRPr="00EC6726" w:rsidRDefault="00EC6726" w:rsidP="00EC6726">
            <w:pPr>
              <w:keepNext/>
              <w:autoSpaceDE w:val="0"/>
              <w:autoSpaceDN w:val="0"/>
              <w:adjustRightInd w:val="0"/>
              <w:spacing w:before="120" w:after="0" w:line="240" w:lineRule="auto"/>
              <w:jc w:val="left"/>
              <w:rPr>
                <w:rFonts w:eastAsiaTheme="minorEastAsia"/>
                <w:color w:val="000000"/>
                <w:sz w:val="20"/>
                <w:szCs w:val="20"/>
                <w:lang w:eastAsia="en-AU"/>
              </w:rPr>
            </w:pPr>
          </w:p>
        </w:tc>
        <w:tc>
          <w:tcPr>
            <w:tcW w:w="6945" w:type="dxa"/>
            <w:tcBorders>
              <w:top w:val="nil"/>
              <w:left w:val="nil"/>
              <w:bottom w:val="nil"/>
              <w:right w:val="nil"/>
            </w:tcBorders>
            <w:vAlign w:val="center"/>
          </w:tcPr>
          <w:p w14:paraId="30991D90" w14:textId="77777777" w:rsidR="00EC6726" w:rsidRPr="00EC6726" w:rsidRDefault="00EC6726" w:rsidP="00EC6726">
            <w:pPr>
              <w:keepNext/>
              <w:autoSpaceDE w:val="0"/>
              <w:autoSpaceDN w:val="0"/>
              <w:adjustRightInd w:val="0"/>
              <w:spacing w:before="120" w:after="0" w:line="240" w:lineRule="auto"/>
              <w:ind w:left="593" w:hanging="454"/>
              <w:jc w:val="left"/>
              <w:rPr>
                <w:rFonts w:eastAsiaTheme="minorEastAsia"/>
                <w:color w:val="000000"/>
                <w:sz w:val="20"/>
                <w:szCs w:val="20"/>
                <w:lang w:eastAsia="en-AU"/>
              </w:rPr>
            </w:pPr>
            <w:r w:rsidRPr="00EC6726">
              <w:rPr>
                <w:rFonts w:eastAsiaTheme="minorEastAsia"/>
                <w:color w:val="000000"/>
                <w:sz w:val="20"/>
                <w:szCs w:val="20"/>
                <w:lang w:eastAsia="en-AU"/>
              </w:rPr>
              <w:t>(c)</w:t>
            </w:r>
            <w:r w:rsidRPr="00EC6726">
              <w:rPr>
                <w:rFonts w:eastAsiaTheme="minorEastAsia"/>
                <w:color w:val="000000"/>
                <w:sz w:val="20"/>
                <w:szCs w:val="20"/>
                <w:lang w:eastAsia="en-AU"/>
              </w:rPr>
              <w:tab/>
              <w:t>in any other case</w:t>
            </w:r>
          </w:p>
        </w:tc>
        <w:tc>
          <w:tcPr>
            <w:tcW w:w="908" w:type="dxa"/>
            <w:tcBorders>
              <w:top w:val="nil"/>
              <w:left w:val="nil"/>
              <w:bottom w:val="nil"/>
              <w:right w:val="nil"/>
            </w:tcBorders>
            <w:vAlign w:val="center"/>
          </w:tcPr>
          <w:p w14:paraId="7D0FFC05" w14:textId="77777777" w:rsidR="00EC6726" w:rsidRPr="00EC6726" w:rsidRDefault="00EC6726" w:rsidP="00EC6726">
            <w:pPr>
              <w:keepNext/>
              <w:autoSpaceDE w:val="0"/>
              <w:autoSpaceDN w:val="0"/>
              <w:adjustRightInd w:val="0"/>
              <w:spacing w:before="120" w:after="0" w:line="240" w:lineRule="auto"/>
              <w:jc w:val="right"/>
              <w:rPr>
                <w:rFonts w:eastAsiaTheme="minorEastAsia"/>
                <w:color w:val="000000"/>
                <w:sz w:val="20"/>
                <w:szCs w:val="20"/>
                <w:lang w:eastAsia="en-AU"/>
              </w:rPr>
            </w:pPr>
            <w:r w:rsidRPr="00EC6726">
              <w:rPr>
                <w:rFonts w:eastAsiaTheme="minorEastAsia"/>
                <w:color w:val="000000"/>
                <w:sz w:val="20"/>
                <w:szCs w:val="20"/>
                <w:lang w:eastAsia="en-AU"/>
              </w:rPr>
              <w:t>$30.25</w:t>
            </w:r>
          </w:p>
        </w:tc>
      </w:tr>
      <w:tr w:rsidR="00EC6726" w:rsidRPr="00EC6726" w14:paraId="276F74FA" w14:textId="77777777" w:rsidTr="000E227A">
        <w:tc>
          <w:tcPr>
            <w:tcW w:w="426" w:type="dxa"/>
            <w:tcBorders>
              <w:top w:val="nil"/>
              <w:left w:val="nil"/>
              <w:bottom w:val="nil"/>
              <w:right w:val="nil"/>
            </w:tcBorders>
            <w:vAlign w:val="center"/>
          </w:tcPr>
          <w:p w14:paraId="79CF4876" w14:textId="77777777" w:rsidR="00EC6726" w:rsidRPr="00EC6726" w:rsidRDefault="00EC6726" w:rsidP="00EC6726">
            <w:pPr>
              <w:keepNext/>
              <w:autoSpaceDE w:val="0"/>
              <w:autoSpaceDN w:val="0"/>
              <w:adjustRightInd w:val="0"/>
              <w:spacing w:before="120" w:after="0" w:line="240" w:lineRule="auto"/>
              <w:jc w:val="left"/>
              <w:rPr>
                <w:rFonts w:eastAsiaTheme="minorEastAsia"/>
                <w:color w:val="000000"/>
                <w:sz w:val="20"/>
                <w:szCs w:val="20"/>
                <w:lang w:eastAsia="en-AU"/>
              </w:rPr>
            </w:pPr>
          </w:p>
        </w:tc>
        <w:tc>
          <w:tcPr>
            <w:tcW w:w="6945" w:type="dxa"/>
            <w:tcBorders>
              <w:top w:val="nil"/>
              <w:left w:val="nil"/>
              <w:bottom w:val="nil"/>
              <w:right w:val="nil"/>
            </w:tcBorders>
            <w:vAlign w:val="center"/>
          </w:tcPr>
          <w:p w14:paraId="201BC46A" w14:textId="77777777" w:rsidR="00EC6726" w:rsidRPr="00EC6726" w:rsidRDefault="00EC6726" w:rsidP="00EC6726">
            <w:pPr>
              <w:keepNext/>
              <w:autoSpaceDE w:val="0"/>
              <w:autoSpaceDN w:val="0"/>
              <w:adjustRightInd w:val="0"/>
              <w:spacing w:before="120" w:after="0" w:line="240" w:lineRule="auto"/>
              <w:jc w:val="left"/>
              <w:rPr>
                <w:rFonts w:eastAsiaTheme="minorEastAsia"/>
                <w:color w:val="000000"/>
                <w:sz w:val="20"/>
                <w:szCs w:val="20"/>
                <w:lang w:eastAsia="en-AU"/>
              </w:rPr>
            </w:pPr>
            <w:r w:rsidRPr="00EC6726">
              <w:rPr>
                <w:rFonts w:eastAsiaTheme="minorEastAsia"/>
                <w:color w:val="000000"/>
                <w:sz w:val="20"/>
                <w:szCs w:val="20"/>
                <w:lang w:eastAsia="en-AU"/>
              </w:rPr>
              <w:t>The fee specified in this item is the fee payable for each period of 12 months for which the permit is granted.</w:t>
            </w:r>
          </w:p>
        </w:tc>
        <w:tc>
          <w:tcPr>
            <w:tcW w:w="908" w:type="dxa"/>
            <w:tcBorders>
              <w:top w:val="nil"/>
              <w:left w:val="nil"/>
              <w:bottom w:val="nil"/>
              <w:right w:val="nil"/>
            </w:tcBorders>
            <w:vAlign w:val="center"/>
          </w:tcPr>
          <w:p w14:paraId="644ADF90" w14:textId="77777777" w:rsidR="00EC6726" w:rsidRPr="00EC6726" w:rsidRDefault="00EC6726" w:rsidP="00EC6726">
            <w:pPr>
              <w:keepNext/>
              <w:autoSpaceDE w:val="0"/>
              <w:autoSpaceDN w:val="0"/>
              <w:adjustRightInd w:val="0"/>
              <w:spacing w:before="120" w:after="0" w:line="240" w:lineRule="auto"/>
              <w:jc w:val="right"/>
              <w:rPr>
                <w:rFonts w:eastAsiaTheme="minorEastAsia"/>
                <w:color w:val="000000"/>
                <w:sz w:val="20"/>
                <w:szCs w:val="20"/>
                <w:lang w:eastAsia="en-AU"/>
              </w:rPr>
            </w:pPr>
          </w:p>
        </w:tc>
      </w:tr>
      <w:tr w:rsidR="00EC6726" w:rsidRPr="00EC6726" w14:paraId="5B41485B" w14:textId="77777777" w:rsidTr="000E227A">
        <w:tc>
          <w:tcPr>
            <w:tcW w:w="426" w:type="dxa"/>
            <w:tcBorders>
              <w:top w:val="nil"/>
              <w:left w:val="nil"/>
              <w:bottom w:val="nil"/>
              <w:right w:val="nil"/>
            </w:tcBorders>
            <w:vAlign w:val="center"/>
          </w:tcPr>
          <w:p w14:paraId="79E7503E" w14:textId="77777777" w:rsidR="00EC6726" w:rsidRPr="00EC6726" w:rsidRDefault="00EC6726" w:rsidP="00EC6726">
            <w:pPr>
              <w:keepNext/>
              <w:autoSpaceDE w:val="0"/>
              <w:autoSpaceDN w:val="0"/>
              <w:adjustRightInd w:val="0"/>
              <w:spacing w:before="120" w:after="0" w:line="240" w:lineRule="auto"/>
              <w:jc w:val="left"/>
              <w:rPr>
                <w:rFonts w:eastAsiaTheme="minorEastAsia"/>
                <w:color w:val="000000"/>
                <w:sz w:val="20"/>
                <w:szCs w:val="20"/>
                <w:lang w:eastAsia="en-AU"/>
              </w:rPr>
            </w:pPr>
            <w:r w:rsidRPr="00EC6726">
              <w:rPr>
                <w:rFonts w:eastAsiaTheme="minorEastAsia"/>
                <w:color w:val="000000"/>
                <w:sz w:val="20"/>
                <w:szCs w:val="20"/>
                <w:lang w:eastAsia="en-AU"/>
              </w:rPr>
              <w:t>2</w:t>
            </w:r>
          </w:p>
        </w:tc>
        <w:tc>
          <w:tcPr>
            <w:tcW w:w="6945" w:type="dxa"/>
            <w:tcBorders>
              <w:top w:val="nil"/>
              <w:left w:val="nil"/>
              <w:bottom w:val="nil"/>
              <w:right w:val="nil"/>
            </w:tcBorders>
            <w:vAlign w:val="center"/>
          </w:tcPr>
          <w:p w14:paraId="39FE47EB" w14:textId="77777777" w:rsidR="00EC6726" w:rsidRPr="00EC6726" w:rsidRDefault="00EC6726" w:rsidP="00EC6726">
            <w:pPr>
              <w:keepNext/>
              <w:autoSpaceDE w:val="0"/>
              <w:autoSpaceDN w:val="0"/>
              <w:adjustRightInd w:val="0"/>
              <w:spacing w:before="120" w:after="0" w:line="240" w:lineRule="auto"/>
              <w:jc w:val="left"/>
              <w:rPr>
                <w:rFonts w:eastAsiaTheme="minorEastAsia"/>
                <w:color w:val="000000"/>
                <w:sz w:val="20"/>
                <w:szCs w:val="20"/>
                <w:lang w:eastAsia="en-AU"/>
              </w:rPr>
            </w:pPr>
            <w:r w:rsidRPr="00EC6726">
              <w:rPr>
                <w:rFonts w:eastAsiaTheme="minorEastAsia"/>
                <w:color w:val="000000"/>
                <w:sz w:val="20"/>
                <w:szCs w:val="20"/>
                <w:lang w:eastAsia="en-AU"/>
              </w:rPr>
              <w:t>Open season quail hunting permit—</w:t>
            </w:r>
          </w:p>
        </w:tc>
        <w:tc>
          <w:tcPr>
            <w:tcW w:w="908" w:type="dxa"/>
            <w:tcBorders>
              <w:top w:val="nil"/>
              <w:left w:val="nil"/>
              <w:bottom w:val="nil"/>
              <w:right w:val="nil"/>
            </w:tcBorders>
            <w:vAlign w:val="center"/>
          </w:tcPr>
          <w:p w14:paraId="6B19E3B3" w14:textId="77777777" w:rsidR="00EC6726" w:rsidRPr="00EC6726" w:rsidRDefault="00EC6726" w:rsidP="00EC6726">
            <w:pPr>
              <w:keepNext/>
              <w:autoSpaceDE w:val="0"/>
              <w:autoSpaceDN w:val="0"/>
              <w:adjustRightInd w:val="0"/>
              <w:spacing w:before="120" w:after="0" w:line="240" w:lineRule="auto"/>
              <w:jc w:val="right"/>
              <w:rPr>
                <w:rFonts w:eastAsiaTheme="minorEastAsia"/>
                <w:color w:val="000000"/>
                <w:sz w:val="20"/>
                <w:szCs w:val="20"/>
                <w:lang w:eastAsia="en-AU"/>
              </w:rPr>
            </w:pPr>
          </w:p>
        </w:tc>
      </w:tr>
      <w:tr w:rsidR="00EC6726" w:rsidRPr="00EC6726" w14:paraId="3348FDDD" w14:textId="77777777" w:rsidTr="000E227A">
        <w:tc>
          <w:tcPr>
            <w:tcW w:w="426" w:type="dxa"/>
            <w:tcBorders>
              <w:top w:val="nil"/>
              <w:left w:val="nil"/>
              <w:bottom w:val="nil"/>
              <w:right w:val="nil"/>
            </w:tcBorders>
            <w:vAlign w:val="center"/>
          </w:tcPr>
          <w:p w14:paraId="7281AE7C" w14:textId="77777777" w:rsidR="00EC6726" w:rsidRPr="00EC6726" w:rsidRDefault="00EC6726" w:rsidP="00EC6726">
            <w:pPr>
              <w:keepNext/>
              <w:autoSpaceDE w:val="0"/>
              <w:autoSpaceDN w:val="0"/>
              <w:adjustRightInd w:val="0"/>
              <w:spacing w:before="120" w:after="0" w:line="240" w:lineRule="auto"/>
              <w:jc w:val="left"/>
              <w:rPr>
                <w:rFonts w:eastAsiaTheme="minorEastAsia"/>
                <w:color w:val="000000"/>
                <w:sz w:val="20"/>
                <w:szCs w:val="20"/>
                <w:lang w:eastAsia="en-AU"/>
              </w:rPr>
            </w:pPr>
          </w:p>
        </w:tc>
        <w:tc>
          <w:tcPr>
            <w:tcW w:w="6945" w:type="dxa"/>
            <w:tcBorders>
              <w:top w:val="nil"/>
              <w:left w:val="nil"/>
              <w:bottom w:val="nil"/>
              <w:right w:val="nil"/>
            </w:tcBorders>
            <w:vAlign w:val="center"/>
          </w:tcPr>
          <w:p w14:paraId="740FCCAC" w14:textId="77777777" w:rsidR="00EC6726" w:rsidRPr="00EC6726" w:rsidRDefault="00EC6726" w:rsidP="00EC6726">
            <w:pPr>
              <w:keepNext/>
              <w:autoSpaceDE w:val="0"/>
              <w:autoSpaceDN w:val="0"/>
              <w:adjustRightInd w:val="0"/>
              <w:spacing w:before="120" w:after="0" w:line="240" w:lineRule="auto"/>
              <w:ind w:left="593" w:hanging="454"/>
              <w:jc w:val="left"/>
              <w:rPr>
                <w:rFonts w:eastAsiaTheme="minorEastAsia"/>
                <w:color w:val="000000"/>
                <w:sz w:val="20"/>
                <w:szCs w:val="20"/>
                <w:lang w:eastAsia="en-AU"/>
              </w:rPr>
            </w:pPr>
            <w:r w:rsidRPr="00EC6726">
              <w:rPr>
                <w:rFonts w:eastAsiaTheme="minorEastAsia"/>
                <w:color w:val="000000"/>
                <w:sz w:val="20"/>
                <w:szCs w:val="20"/>
                <w:lang w:eastAsia="en-AU"/>
              </w:rPr>
              <w:t>(a)</w:t>
            </w:r>
            <w:r w:rsidRPr="00EC6726">
              <w:rPr>
                <w:rFonts w:eastAsiaTheme="minorEastAsia"/>
                <w:color w:val="000000"/>
                <w:sz w:val="20"/>
                <w:szCs w:val="20"/>
                <w:lang w:eastAsia="en-AU"/>
              </w:rPr>
              <w:tab/>
              <w:t>in the case of a concession cardholder or a junior</w:t>
            </w:r>
          </w:p>
        </w:tc>
        <w:tc>
          <w:tcPr>
            <w:tcW w:w="908" w:type="dxa"/>
            <w:tcBorders>
              <w:top w:val="nil"/>
              <w:left w:val="nil"/>
              <w:bottom w:val="nil"/>
              <w:right w:val="nil"/>
            </w:tcBorders>
            <w:vAlign w:val="center"/>
          </w:tcPr>
          <w:p w14:paraId="1D2BC59E" w14:textId="77777777" w:rsidR="00EC6726" w:rsidRPr="00EC6726" w:rsidRDefault="00EC6726" w:rsidP="00EC6726">
            <w:pPr>
              <w:keepNext/>
              <w:autoSpaceDE w:val="0"/>
              <w:autoSpaceDN w:val="0"/>
              <w:adjustRightInd w:val="0"/>
              <w:spacing w:before="120" w:after="0" w:line="240" w:lineRule="auto"/>
              <w:jc w:val="right"/>
              <w:rPr>
                <w:rFonts w:eastAsiaTheme="minorEastAsia"/>
                <w:color w:val="000000"/>
                <w:sz w:val="20"/>
                <w:szCs w:val="20"/>
                <w:lang w:eastAsia="en-AU"/>
              </w:rPr>
            </w:pPr>
            <w:r w:rsidRPr="00EC6726">
              <w:rPr>
                <w:rFonts w:eastAsiaTheme="minorEastAsia"/>
                <w:color w:val="000000"/>
                <w:sz w:val="20"/>
                <w:szCs w:val="20"/>
                <w:lang w:eastAsia="en-AU"/>
              </w:rPr>
              <w:t>$50.00</w:t>
            </w:r>
          </w:p>
        </w:tc>
      </w:tr>
      <w:tr w:rsidR="00EC6726" w:rsidRPr="00EC6726" w14:paraId="28B9819D" w14:textId="77777777" w:rsidTr="000E227A">
        <w:tc>
          <w:tcPr>
            <w:tcW w:w="426" w:type="dxa"/>
            <w:tcBorders>
              <w:top w:val="nil"/>
              <w:left w:val="nil"/>
              <w:bottom w:val="nil"/>
              <w:right w:val="nil"/>
            </w:tcBorders>
            <w:vAlign w:val="center"/>
          </w:tcPr>
          <w:p w14:paraId="123FDB5C" w14:textId="77777777" w:rsidR="00EC6726" w:rsidRPr="00EC6726" w:rsidRDefault="00EC6726" w:rsidP="00EC6726">
            <w:pPr>
              <w:keepNext/>
              <w:autoSpaceDE w:val="0"/>
              <w:autoSpaceDN w:val="0"/>
              <w:adjustRightInd w:val="0"/>
              <w:spacing w:before="120" w:after="0" w:line="240" w:lineRule="auto"/>
              <w:jc w:val="left"/>
              <w:rPr>
                <w:rFonts w:eastAsiaTheme="minorEastAsia"/>
                <w:color w:val="000000"/>
                <w:sz w:val="20"/>
                <w:szCs w:val="20"/>
                <w:lang w:eastAsia="en-AU"/>
              </w:rPr>
            </w:pPr>
          </w:p>
        </w:tc>
        <w:tc>
          <w:tcPr>
            <w:tcW w:w="6945" w:type="dxa"/>
            <w:tcBorders>
              <w:top w:val="nil"/>
              <w:left w:val="nil"/>
              <w:bottom w:val="nil"/>
              <w:right w:val="nil"/>
            </w:tcBorders>
            <w:vAlign w:val="center"/>
          </w:tcPr>
          <w:p w14:paraId="36CF0441" w14:textId="77777777" w:rsidR="00EC6726" w:rsidRPr="00EC6726" w:rsidRDefault="00EC6726" w:rsidP="00EC6726">
            <w:pPr>
              <w:keepNext/>
              <w:autoSpaceDE w:val="0"/>
              <w:autoSpaceDN w:val="0"/>
              <w:adjustRightInd w:val="0"/>
              <w:spacing w:before="120" w:after="0" w:line="240" w:lineRule="auto"/>
              <w:ind w:left="593" w:hanging="454"/>
              <w:jc w:val="left"/>
              <w:rPr>
                <w:rFonts w:eastAsiaTheme="minorEastAsia"/>
                <w:color w:val="000000"/>
                <w:sz w:val="20"/>
                <w:szCs w:val="20"/>
                <w:lang w:eastAsia="en-AU"/>
              </w:rPr>
            </w:pPr>
            <w:r w:rsidRPr="00EC6726">
              <w:rPr>
                <w:rFonts w:eastAsiaTheme="minorEastAsia"/>
                <w:color w:val="000000"/>
                <w:sz w:val="20"/>
                <w:szCs w:val="20"/>
                <w:lang w:eastAsia="en-AU"/>
              </w:rPr>
              <w:t>(b)</w:t>
            </w:r>
            <w:r w:rsidRPr="00EC6726">
              <w:rPr>
                <w:rFonts w:eastAsiaTheme="minorEastAsia"/>
                <w:color w:val="000000"/>
                <w:sz w:val="20"/>
                <w:szCs w:val="20"/>
                <w:lang w:eastAsia="en-AU"/>
              </w:rPr>
              <w:tab/>
              <w:t>in any other case</w:t>
            </w:r>
          </w:p>
        </w:tc>
        <w:tc>
          <w:tcPr>
            <w:tcW w:w="908" w:type="dxa"/>
            <w:tcBorders>
              <w:top w:val="nil"/>
              <w:left w:val="nil"/>
              <w:bottom w:val="nil"/>
              <w:right w:val="nil"/>
            </w:tcBorders>
            <w:vAlign w:val="center"/>
          </w:tcPr>
          <w:p w14:paraId="3EE3156B" w14:textId="77777777" w:rsidR="00EC6726" w:rsidRPr="00EC6726" w:rsidRDefault="00EC6726" w:rsidP="00EC6726">
            <w:pPr>
              <w:keepNext/>
              <w:autoSpaceDE w:val="0"/>
              <w:autoSpaceDN w:val="0"/>
              <w:adjustRightInd w:val="0"/>
              <w:spacing w:before="120" w:after="0" w:line="240" w:lineRule="auto"/>
              <w:jc w:val="right"/>
              <w:rPr>
                <w:rFonts w:eastAsiaTheme="minorEastAsia"/>
                <w:color w:val="000000"/>
                <w:sz w:val="20"/>
                <w:szCs w:val="20"/>
                <w:lang w:eastAsia="en-AU"/>
              </w:rPr>
            </w:pPr>
            <w:r w:rsidRPr="00EC6726">
              <w:rPr>
                <w:rFonts w:eastAsiaTheme="minorEastAsia"/>
                <w:color w:val="000000"/>
                <w:sz w:val="20"/>
                <w:szCs w:val="20"/>
                <w:lang w:eastAsia="en-AU"/>
              </w:rPr>
              <w:t>$100.00</w:t>
            </w:r>
          </w:p>
        </w:tc>
      </w:tr>
      <w:tr w:rsidR="00EC6726" w:rsidRPr="00EC6726" w14:paraId="2BF261D3" w14:textId="77777777" w:rsidTr="000E227A">
        <w:tc>
          <w:tcPr>
            <w:tcW w:w="426" w:type="dxa"/>
            <w:tcBorders>
              <w:top w:val="nil"/>
              <w:left w:val="nil"/>
              <w:bottom w:val="nil"/>
              <w:right w:val="nil"/>
            </w:tcBorders>
            <w:vAlign w:val="center"/>
          </w:tcPr>
          <w:p w14:paraId="6FAE3268" w14:textId="77777777" w:rsidR="00EC6726" w:rsidRPr="00EC6726" w:rsidRDefault="00EC6726" w:rsidP="00EC6726">
            <w:pPr>
              <w:keepNext/>
              <w:autoSpaceDE w:val="0"/>
              <w:autoSpaceDN w:val="0"/>
              <w:adjustRightInd w:val="0"/>
              <w:spacing w:before="120" w:after="0" w:line="240" w:lineRule="auto"/>
              <w:jc w:val="left"/>
              <w:rPr>
                <w:rFonts w:eastAsiaTheme="minorEastAsia"/>
                <w:color w:val="000000"/>
                <w:sz w:val="20"/>
                <w:szCs w:val="20"/>
                <w:lang w:eastAsia="en-AU"/>
              </w:rPr>
            </w:pPr>
            <w:r w:rsidRPr="00EC6726">
              <w:rPr>
                <w:rFonts w:eastAsiaTheme="minorEastAsia"/>
                <w:color w:val="000000"/>
                <w:sz w:val="20"/>
                <w:szCs w:val="20"/>
                <w:lang w:eastAsia="en-AU"/>
              </w:rPr>
              <w:t>3</w:t>
            </w:r>
          </w:p>
        </w:tc>
        <w:tc>
          <w:tcPr>
            <w:tcW w:w="6945" w:type="dxa"/>
            <w:tcBorders>
              <w:top w:val="nil"/>
              <w:left w:val="nil"/>
              <w:bottom w:val="nil"/>
              <w:right w:val="nil"/>
            </w:tcBorders>
            <w:vAlign w:val="center"/>
          </w:tcPr>
          <w:p w14:paraId="08D0BFD6" w14:textId="77777777" w:rsidR="00EC6726" w:rsidRPr="00EC6726" w:rsidRDefault="00EC6726" w:rsidP="00EC6726">
            <w:pPr>
              <w:keepNext/>
              <w:autoSpaceDE w:val="0"/>
              <w:autoSpaceDN w:val="0"/>
              <w:adjustRightInd w:val="0"/>
              <w:spacing w:before="120" w:after="0" w:line="240" w:lineRule="auto"/>
              <w:jc w:val="left"/>
              <w:rPr>
                <w:rFonts w:eastAsiaTheme="minorEastAsia"/>
                <w:color w:val="000000"/>
                <w:sz w:val="20"/>
                <w:szCs w:val="20"/>
                <w:lang w:eastAsia="en-AU"/>
              </w:rPr>
            </w:pPr>
            <w:r w:rsidRPr="00EC6726">
              <w:rPr>
                <w:rFonts w:eastAsiaTheme="minorEastAsia"/>
                <w:color w:val="000000"/>
                <w:sz w:val="20"/>
                <w:szCs w:val="20"/>
                <w:lang w:eastAsia="en-AU"/>
              </w:rPr>
              <w:t>Open season duck hunting permit—</w:t>
            </w:r>
          </w:p>
        </w:tc>
        <w:tc>
          <w:tcPr>
            <w:tcW w:w="908" w:type="dxa"/>
            <w:tcBorders>
              <w:top w:val="nil"/>
              <w:left w:val="nil"/>
              <w:bottom w:val="nil"/>
              <w:right w:val="nil"/>
            </w:tcBorders>
            <w:vAlign w:val="center"/>
          </w:tcPr>
          <w:p w14:paraId="4B5C388D" w14:textId="77777777" w:rsidR="00EC6726" w:rsidRPr="00EC6726" w:rsidRDefault="00EC6726" w:rsidP="00EC6726">
            <w:pPr>
              <w:keepNext/>
              <w:autoSpaceDE w:val="0"/>
              <w:autoSpaceDN w:val="0"/>
              <w:adjustRightInd w:val="0"/>
              <w:spacing w:before="120" w:after="0" w:line="240" w:lineRule="auto"/>
              <w:jc w:val="right"/>
              <w:rPr>
                <w:rFonts w:eastAsiaTheme="minorEastAsia"/>
                <w:color w:val="000000"/>
                <w:sz w:val="20"/>
                <w:szCs w:val="20"/>
                <w:lang w:eastAsia="en-AU"/>
              </w:rPr>
            </w:pPr>
          </w:p>
        </w:tc>
      </w:tr>
      <w:tr w:rsidR="00EC6726" w:rsidRPr="00EC6726" w14:paraId="045B4A75" w14:textId="77777777" w:rsidTr="000E227A">
        <w:tc>
          <w:tcPr>
            <w:tcW w:w="426" w:type="dxa"/>
            <w:tcBorders>
              <w:top w:val="nil"/>
              <w:left w:val="nil"/>
              <w:bottom w:val="nil"/>
              <w:right w:val="nil"/>
            </w:tcBorders>
            <w:vAlign w:val="center"/>
          </w:tcPr>
          <w:p w14:paraId="0C9FA503" w14:textId="77777777" w:rsidR="00EC6726" w:rsidRPr="00EC6726" w:rsidRDefault="00EC6726" w:rsidP="00EC6726">
            <w:pPr>
              <w:keepNext/>
              <w:autoSpaceDE w:val="0"/>
              <w:autoSpaceDN w:val="0"/>
              <w:adjustRightInd w:val="0"/>
              <w:spacing w:before="120" w:after="0" w:line="240" w:lineRule="auto"/>
              <w:jc w:val="left"/>
              <w:rPr>
                <w:rFonts w:eastAsiaTheme="minorEastAsia"/>
                <w:color w:val="000000"/>
                <w:sz w:val="20"/>
                <w:szCs w:val="20"/>
                <w:lang w:eastAsia="en-AU"/>
              </w:rPr>
            </w:pPr>
          </w:p>
        </w:tc>
        <w:tc>
          <w:tcPr>
            <w:tcW w:w="6945" w:type="dxa"/>
            <w:tcBorders>
              <w:top w:val="nil"/>
              <w:left w:val="nil"/>
              <w:bottom w:val="nil"/>
              <w:right w:val="nil"/>
            </w:tcBorders>
            <w:vAlign w:val="center"/>
          </w:tcPr>
          <w:p w14:paraId="638A10E5" w14:textId="77777777" w:rsidR="00EC6726" w:rsidRPr="00EC6726" w:rsidRDefault="00EC6726" w:rsidP="00EC6726">
            <w:pPr>
              <w:keepNext/>
              <w:autoSpaceDE w:val="0"/>
              <w:autoSpaceDN w:val="0"/>
              <w:adjustRightInd w:val="0"/>
              <w:spacing w:before="120" w:after="0" w:line="240" w:lineRule="auto"/>
              <w:ind w:left="593" w:hanging="454"/>
              <w:jc w:val="left"/>
              <w:rPr>
                <w:rFonts w:eastAsiaTheme="minorEastAsia"/>
                <w:color w:val="000000"/>
                <w:sz w:val="20"/>
                <w:szCs w:val="20"/>
                <w:lang w:eastAsia="en-AU"/>
              </w:rPr>
            </w:pPr>
            <w:r w:rsidRPr="00EC6726">
              <w:rPr>
                <w:rFonts w:eastAsiaTheme="minorEastAsia"/>
                <w:color w:val="000000"/>
                <w:sz w:val="20"/>
                <w:szCs w:val="20"/>
                <w:lang w:eastAsia="en-AU"/>
              </w:rPr>
              <w:t>(a)</w:t>
            </w:r>
            <w:r w:rsidRPr="00EC6726">
              <w:rPr>
                <w:rFonts w:eastAsiaTheme="minorEastAsia"/>
                <w:color w:val="000000"/>
                <w:sz w:val="20"/>
                <w:szCs w:val="20"/>
                <w:lang w:eastAsia="en-AU"/>
              </w:rPr>
              <w:tab/>
              <w:t>in the case of a concession cardholder or a junior</w:t>
            </w:r>
          </w:p>
        </w:tc>
        <w:tc>
          <w:tcPr>
            <w:tcW w:w="908" w:type="dxa"/>
            <w:tcBorders>
              <w:top w:val="nil"/>
              <w:left w:val="nil"/>
              <w:bottom w:val="nil"/>
              <w:right w:val="nil"/>
            </w:tcBorders>
            <w:vAlign w:val="center"/>
          </w:tcPr>
          <w:p w14:paraId="42B712DC" w14:textId="77777777" w:rsidR="00EC6726" w:rsidRPr="00EC6726" w:rsidRDefault="00EC6726" w:rsidP="00EC6726">
            <w:pPr>
              <w:keepNext/>
              <w:autoSpaceDE w:val="0"/>
              <w:autoSpaceDN w:val="0"/>
              <w:adjustRightInd w:val="0"/>
              <w:spacing w:before="120" w:after="0" w:line="240" w:lineRule="auto"/>
              <w:jc w:val="right"/>
              <w:rPr>
                <w:rFonts w:eastAsiaTheme="minorEastAsia"/>
                <w:color w:val="000000"/>
                <w:sz w:val="20"/>
                <w:szCs w:val="20"/>
                <w:lang w:eastAsia="en-AU"/>
              </w:rPr>
            </w:pPr>
            <w:r w:rsidRPr="00EC6726">
              <w:rPr>
                <w:rFonts w:eastAsiaTheme="minorEastAsia"/>
                <w:color w:val="000000"/>
                <w:sz w:val="20"/>
                <w:szCs w:val="20"/>
                <w:lang w:eastAsia="en-AU"/>
              </w:rPr>
              <w:t>$50.00</w:t>
            </w:r>
          </w:p>
        </w:tc>
      </w:tr>
      <w:tr w:rsidR="00EC6726" w:rsidRPr="00EC6726" w14:paraId="179357BD" w14:textId="77777777" w:rsidTr="000E227A">
        <w:tc>
          <w:tcPr>
            <w:tcW w:w="426" w:type="dxa"/>
            <w:tcBorders>
              <w:top w:val="nil"/>
              <w:left w:val="nil"/>
              <w:bottom w:val="nil"/>
              <w:right w:val="nil"/>
            </w:tcBorders>
            <w:vAlign w:val="center"/>
          </w:tcPr>
          <w:p w14:paraId="3D441763" w14:textId="77777777" w:rsidR="00EC6726" w:rsidRPr="00EC6726" w:rsidRDefault="00EC6726" w:rsidP="00EC6726">
            <w:pPr>
              <w:keepNext/>
              <w:autoSpaceDE w:val="0"/>
              <w:autoSpaceDN w:val="0"/>
              <w:adjustRightInd w:val="0"/>
              <w:spacing w:before="120" w:after="0" w:line="240" w:lineRule="auto"/>
              <w:jc w:val="left"/>
              <w:rPr>
                <w:rFonts w:eastAsiaTheme="minorEastAsia"/>
                <w:color w:val="000000"/>
                <w:sz w:val="20"/>
                <w:szCs w:val="20"/>
                <w:lang w:eastAsia="en-AU"/>
              </w:rPr>
            </w:pPr>
          </w:p>
        </w:tc>
        <w:tc>
          <w:tcPr>
            <w:tcW w:w="6945" w:type="dxa"/>
            <w:tcBorders>
              <w:top w:val="nil"/>
              <w:left w:val="nil"/>
              <w:bottom w:val="nil"/>
              <w:right w:val="nil"/>
            </w:tcBorders>
            <w:vAlign w:val="center"/>
          </w:tcPr>
          <w:p w14:paraId="7842033C" w14:textId="77777777" w:rsidR="00EC6726" w:rsidRPr="00EC6726" w:rsidRDefault="00EC6726" w:rsidP="00EC6726">
            <w:pPr>
              <w:keepNext/>
              <w:autoSpaceDE w:val="0"/>
              <w:autoSpaceDN w:val="0"/>
              <w:adjustRightInd w:val="0"/>
              <w:spacing w:before="120" w:after="0" w:line="240" w:lineRule="auto"/>
              <w:ind w:left="593" w:hanging="454"/>
              <w:jc w:val="left"/>
              <w:rPr>
                <w:rFonts w:eastAsiaTheme="minorEastAsia"/>
                <w:color w:val="000000"/>
                <w:sz w:val="20"/>
                <w:szCs w:val="20"/>
                <w:lang w:eastAsia="en-AU"/>
              </w:rPr>
            </w:pPr>
            <w:r w:rsidRPr="00EC6726">
              <w:rPr>
                <w:rFonts w:eastAsiaTheme="minorEastAsia"/>
                <w:color w:val="000000"/>
                <w:sz w:val="20"/>
                <w:szCs w:val="20"/>
                <w:lang w:eastAsia="en-AU"/>
              </w:rPr>
              <w:t>(b)</w:t>
            </w:r>
            <w:r w:rsidRPr="00EC6726">
              <w:rPr>
                <w:rFonts w:eastAsiaTheme="minorEastAsia"/>
                <w:color w:val="000000"/>
                <w:sz w:val="20"/>
                <w:szCs w:val="20"/>
                <w:lang w:eastAsia="en-AU"/>
              </w:rPr>
              <w:tab/>
              <w:t>in any other case</w:t>
            </w:r>
          </w:p>
        </w:tc>
        <w:tc>
          <w:tcPr>
            <w:tcW w:w="908" w:type="dxa"/>
            <w:tcBorders>
              <w:top w:val="nil"/>
              <w:left w:val="nil"/>
              <w:bottom w:val="nil"/>
              <w:right w:val="nil"/>
            </w:tcBorders>
            <w:vAlign w:val="center"/>
          </w:tcPr>
          <w:p w14:paraId="1782FF93" w14:textId="77777777" w:rsidR="00EC6726" w:rsidRPr="00EC6726" w:rsidRDefault="00EC6726" w:rsidP="00EC6726">
            <w:pPr>
              <w:keepNext/>
              <w:autoSpaceDE w:val="0"/>
              <w:autoSpaceDN w:val="0"/>
              <w:adjustRightInd w:val="0"/>
              <w:spacing w:before="120" w:after="0" w:line="240" w:lineRule="auto"/>
              <w:jc w:val="right"/>
              <w:rPr>
                <w:rFonts w:eastAsiaTheme="minorEastAsia"/>
                <w:color w:val="000000"/>
                <w:sz w:val="20"/>
                <w:szCs w:val="20"/>
                <w:lang w:eastAsia="en-AU"/>
              </w:rPr>
            </w:pPr>
            <w:r w:rsidRPr="00EC6726">
              <w:rPr>
                <w:rFonts w:eastAsiaTheme="minorEastAsia"/>
                <w:color w:val="000000"/>
                <w:sz w:val="20"/>
                <w:szCs w:val="20"/>
                <w:lang w:eastAsia="en-AU"/>
              </w:rPr>
              <w:t>$100.00</w:t>
            </w:r>
          </w:p>
        </w:tc>
      </w:tr>
      <w:tr w:rsidR="00EC6726" w:rsidRPr="00EC6726" w14:paraId="4F847E22" w14:textId="77777777" w:rsidTr="000E227A">
        <w:tc>
          <w:tcPr>
            <w:tcW w:w="426" w:type="dxa"/>
            <w:tcBorders>
              <w:top w:val="nil"/>
              <w:left w:val="nil"/>
              <w:bottom w:val="nil"/>
              <w:right w:val="nil"/>
            </w:tcBorders>
            <w:vAlign w:val="center"/>
          </w:tcPr>
          <w:p w14:paraId="0A999D05" w14:textId="77777777" w:rsidR="00EC6726" w:rsidRPr="00EC6726" w:rsidRDefault="00EC6726" w:rsidP="00EC6726">
            <w:pPr>
              <w:keepNext/>
              <w:autoSpaceDE w:val="0"/>
              <w:autoSpaceDN w:val="0"/>
              <w:adjustRightInd w:val="0"/>
              <w:spacing w:before="120" w:after="0" w:line="240" w:lineRule="auto"/>
              <w:jc w:val="left"/>
              <w:rPr>
                <w:rFonts w:eastAsiaTheme="minorEastAsia"/>
                <w:color w:val="000000"/>
                <w:sz w:val="20"/>
                <w:szCs w:val="20"/>
                <w:lang w:eastAsia="en-AU"/>
              </w:rPr>
            </w:pPr>
            <w:r w:rsidRPr="00EC6726">
              <w:rPr>
                <w:rFonts w:eastAsiaTheme="minorEastAsia"/>
                <w:color w:val="000000"/>
                <w:sz w:val="20"/>
                <w:szCs w:val="20"/>
                <w:lang w:eastAsia="en-AU"/>
              </w:rPr>
              <w:t>4</w:t>
            </w:r>
          </w:p>
        </w:tc>
        <w:tc>
          <w:tcPr>
            <w:tcW w:w="6945" w:type="dxa"/>
            <w:tcBorders>
              <w:top w:val="nil"/>
              <w:left w:val="nil"/>
              <w:bottom w:val="nil"/>
              <w:right w:val="nil"/>
            </w:tcBorders>
            <w:vAlign w:val="center"/>
          </w:tcPr>
          <w:p w14:paraId="42297480" w14:textId="77777777" w:rsidR="00EC6726" w:rsidRPr="00EC6726" w:rsidRDefault="00EC6726" w:rsidP="00EC6726">
            <w:pPr>
              <w:keepNext/>
              <w:autoSpaceDE w:val="0"/>
              <w:autoSpaceDN w:val="0"/>
              <w:adjustRightInd w:val="0"/>
              <w:spacing w:before="120" w:after="0" w:line="240" w:lineRule="auto"/>
              <w:jc w:val="left"/>
              <w:rPr>
                <w:rFonts w:eastAsiaTheme="minorEastAsia"/>
                <w:color w:val="000000"/>
                <w:sz w:val="20"/>
                <w:szCs w:val="20"/>
                <w:lang w:eastAsia="en-AU"/>
              </w:rPr>
            </w:pPr>
            <w:r w:rsidRPr="00EC6726">
              <w:rPr>
                <w:rFonts w:eastAsiaTheme="minorEastAsia"/>
                <w:color w:val="000000"/>
                <w:sz w:val="20"/>
                <w:szCs w:val="20"/>
                <w:lang w:eastAsia="en-AU"/>
              </w:rPr>
              <w:t>Permit to take Galahs or Little Corellas other than by shooting</w:t>
            </w:r>
          </w:p>
        </w:tc>
        <w:tc>
          <w:tcPr>
            <w:tcW w:w="908" w:type="dxa"/>
            <w:tcBorders>
              <w:top w:val="nil"/>
              <w:left w:val="nil"/>
              <w:bottom w:val="nil"/>
              <w:right w:val="nil"/>
            </w:tcBorders>
            <w:vAlign w:val="center"/>
          </w:tcPr>
          <w:p w14:paraId="4B67285E" w14:textId="77777777" w:rsidR="00EC6726" w:rsidRPr="00EC6726" w:rsidRDefault="00EC6726" w:rsidP="00EC6726">
            <w:pPr>
              <w:keepNext/>
              <w:autoSpaceDE w:val="0"/>
              <w:autoSpaceDN w:val="0"/>
              <w:adjustRightInd w:val="0"/>
              <w:spacing w:before="120" w:after="0" w:line="240" w:lineRule="auto"/>
              <w:jc w:val="right"/>
              <w:rPr>
                <w:rFonts w:eastAsiaTheme="minorEastAsia"/>
                <w:color w:val="000000"/>
                <w:sz w:val="20"/>
                <w:szCs w:val="20"/>
                <w:lang w:eastAsia="en-AU"/>
              </w:rPr>
            </w:pPr>
            <w:r w:rsidRPr="00EC6726">
              <w:rPr>
                <w:rFonts w:eastAsiaTheme="minorEastAsia"/>
                <w:color w:val="000000"/>
                <w:sz w:val="20"/>
                <w:szCs w:val="20"/>
                <w:lang w:eastAsia="en-AU"/>
              </w:rPr>
              <w:t>$108.00</w:t>
            </w:r>
          </w:p>
        </w:tc>
      </w:tr>
      <w:tr w:rsidR="00EC6726" w:rsidRPr="00EC6726" w14:paraId="2D660B82" w14:textId="77777777" w:rsidTr="000E227A">
        <w:tc>
          <w:tcPr>
            <w:tcW w:w="426" w:type="dxa"/>
            <w:tcBorders>
              <w:top w:val="nil"/>
              <w:left w:val="nil"/>
              <w:bottom w:val="nil"/>
              <w:right w:val="nil"/>
            </w:tcBorders>
            <w:vAlign w:val="center"/>
          </w:tcPr>
          <w:p w14:paraId="28E7ABFB" w14:textId="77777777" w:rsidR="00EC6726" w:rsidRPr="00EC6726" w:rsidRDefault="00EC6726" w:rsidP="00EC6726">
            <w:pPr>
              <w:keepNext/>
              <w:autoSpaceDE w:val="0"/>
              <w:autoSpaceDN w:val="0"/>
              <w:adjustRightInd w:val="0"/>
              <w:spacing w:before="120" w:after="0" w:line="240" w:lineRule="auto"/>
              <w:jc w:val="left"/>
              <w:rPr>
                <w:rFonts w:eastAsiaTheme="minorEastAsia"/>
                <w:color w:val="000000"/>
                <w:sz w:val="20"/>
                <w:szCs w:val="20"/>
                <w:lang w:eastAsia="en-AU"/>
              </w:rPr>
            </w:pPr>
          </w:p>
        </w:tc>
        <w:tc>
          <w:tcPr>
            <w:tcW w:w="6945" w:type="dxa"/>
            <w:tcBorders>
              <w:top w:val="nil"/>
              <w:left w:val="nil"/>
              <w:bottom w:val="nil"/>
              <w:right w:val="nil"/>
            </w:tcBorders>
            <w:vAlign w:val="center"/>
          </w:tcPr>
          <w:p w14:paraId="5ABD768D" w14:textId="77777777" w:rsidR="00EC6726" w:rsidRPr="00EC6726" w:rsidRDefault="00EC6726" w:rsidP="00EC6726">
            <w:pPr>
              <w:keepNext/>
              <w:autoSpaceDE w:val="0"/>
              <w:autoSpaceDN w:val="0"/>
              <w:adjustRightInd w:val="0"/>
              <w:spacing w:before="120" w:after="0" w:line="240" w:lineRule="auto"/>
              <w:jc w:val="left"/>
              <w:rPr>
                <w:rFonts w:eastAsiaTheme="minorEastAsia"/>
                <w:color w:val="000000"/>
                <w:sz w:val="20"/>
                <w:szCs w:val="20"/>
                <w:lang w:eastAsia="en-AU"/>
              </w:rPr>
            </w:pPr>
            <w:r w:rsidRPr="00EC6726">
              <w:rPr>
                <w:rFonts w:eastAsiaTheme="minorEastAsia"/>
                <w:color w:val="000000"/>
                <w:sz w:val="20"/>
                <w:szCs w:val="20"/>
                <w:lang w:eastAsia="en-AU"/>
              </w:rPr>
              <w:t>The fee specified in this item is the fee payable for each period of 3 months for which the permit is granted.</w:t>
            </w:r>
          </w:p>
        </w:tc>
        <w:tc>
          <w:tcPr>
            <w:tcW w:w="908" w:type="dxa"/>
            <w:tcBorders>
              <w:top w:val="nil"/>
              <w:left w:val="nil"/>
              <w:bottom w:val="nil"/>
              <w:right w:val="nil"/>
            </w:tcBorders>
            <w:vAlign w:val="center"/>
          </w:tcPr>
          <w:p w14:paraId="3179EC2B" w14:textId="77777777" w:rsidR="00EC6726" w:rsidRPr="00EC6726" w:rsidRDefault="00EC6726" w:rsidP="00EC6726">
            <w:pPr>
              <w:keepNext/>
              <w:autoSpaceDE w:val="0"/>
              <w:autoSpaceDN w:val="0"/>
              <w:adjustRightInd w:val="0"/>
              <w:spacing w:before="120" w:after="0" w:line="240" w:lineRule="auto"/>
              <w:jc w:val="right"/>
              <w:rPr>
                <w:rFonts w:eastAsiaTheme="minorEastAsia"/>
                <w:color w:val="000000"/>
                <w:sz w:val="20"/>
                <w:szCs w:val="20"/>
                <w:lang w:eastAsia="en-AU"/>
              </w:rPr>
            </w:pPr>
          </w:p>
        </w:tc>
      </w:tr>
      <w:tr w:rsidR="00EC6726" w:rsidRPr="00EC6726" w14:paraId="5D4E4E1C" w14:textId="77777777" w:rsidTr="000E227A">
        <w:tc>
          <w:tcPr>
            <w:tcW w:w="426" w:type="dxa"/>
            <w:tcBorders>
              <w:top w:val="nil"/>
              <w:left w:val="nil"/>
              <w:bottom w:val="nil"/>
              <w:right w:val="nil"/>
            </w:tcBorders>
            <w:vAlign w:val="center"/>
          </w:tcPr>
          <w:p w14:paraId="3ED4448E" w14:textId="77777777" w:rsidR="00EC6726" w:rsidRPr="00EC6726" w:rsidRDefault="00EC6726" w:rsidP="00EC6726">
            <w:pPr>
              <w:keepNext/>
              <w:autoSpaceDE w:val="0"/>
              <w:autoSpaceDN w:val="0"/>
              <w:adjustRightInd w:val="0"/>
              <w:spacing w:before="120" w:after="0" w:line="240" w:lineRule="auto"/>
              <w:jc w:val="left"/>
              <w:rPr>
                <w:rFonts w:eastAsiaTheme="minorEastAsia"/>
                <w:color w:val="000000"/>
                <w:sz w:val="20"/>
                <w:szCs w:val="20"/>
                <w:lang w:eastAsia="en-AU"/>
              </w:rPr>
            </w:pPr>
          </w:p>
        </w:tc>
        <w:tc>
          <w:tcPr>
            <w:tcW w:w="6945" w:type="dxa"/>
            <w:tcBorders>
              <w:top w:val="nil"/>
              <w:left w:val="nil"/>
              <w:bottom w:val="nil"/>
              <w:right w:val="nil"/>
            </w:tcBorders>
            <w:vAlign w:val="center"/>
          </w:tcPr>
          <w:p w14:paraId="7056DC9E" w14:textId="77777777" w:rsidR="00EC6726" w:rsidRPr="00EC6726" w:rsidRDefault="00EC6726" w:rsidP="00EC6726">
            <w:pPr>
              <w:keepNext/>
              <w:autoSpaceDE w:val="0"/>
              <w:autoSpaceDN w:val="0"/>
              <w:adjustRightInd w:val="0"/>
              <w:spacing w:before="120" w:after="0" w:line="240" w:lineRule="auto"/>
              <w:jc w:val="left"/>
              <w:rPr>
                <w:rFonts w:eastAsiaTheme="minorEastAsia"/>
                <w:color w:val="000000"/>
                <w:sz w:val="20"/>
                <w:szCs w:val="20"/>
                <w:lang w:eastAsia="en-AU"/>
              </w:rPr>
            </w:pPr>
          </w:p>
        </w:tc>
        <w:tc>
          <w:tcPr>
            <w:tcW w:w="908" w:type="dxa"/>
            <w:tcBorders>
              <w:top w:val="nil"/>
              <w:left w:val="nil"/>
              <w:bottom w:val="nil"/>
              <w:right w:val="nil"/>
            </w:tcBorders>
            <w:vAlign w:val="center"/>
          </w:tcPr>
          <w:p w14:paraId="4F5A7BDB" w14:textId="77777777" w:rsidR="00EC6726" w:rsidRPr="00EC6726" w:rsidRDefault="00EC6726" w:rsidP="00EC6726">
            <w:pPr>
              <w:keepNext/>
              <w:autoSpaceDE w:val="0"/>
              <w:autoSpaceDN w:val="0"/>
              <w:adjustRightInd w:val="0"/>
              <w:spacing w:before="120" w:after="0" w:line="240" w:lineRule="auto"/>
              <w:jc w:val="right"/>
              <w:rPr>
                <w:rFonts w:eastAsiaTheme="minorEastAsia"/>
                <w:color w:val="000000"/>
                <w:sz w:val="20"/>
                <w:szCs w:val="20"/>
                <w:lang w:eastAsia="en-AU"/>
              </w:rPr>
            </w:pPr>
          </w:p>
        </w:tc>
      </w:tr>
    </w:tbl>
    <w:p w14:paraId="201761F0" w14:textId="77777777" w:rsidR="00EC6726" w:rsidRPr="00EC6726" w:rsidRDefault="00EC6726" w:rsidP="00EC6726">
      <w:pPr>
        <w:autoSpaceDE w:val="0"/>
        <w:autoSpaceDN w:val="0"/>
        <w:adjustRightInd w:val="0"/>
        <w:spacing w:before="120" w:after="0" w:line="240" w:lineRule="auto"/>
        <w:jc w:val="left"/>
        <w:rPr>
          <w:rFonts w:eastAsiaTheme="minorEastAsia"/>
          <w:b/>
          <w:bCs/>
          <w:color w:val="000000"/>
          <w:sz w:val="26"/>
          <w:szCs w:val="26"/>
          <w:lang w:eastAsia="en-AU"/>
        </w:rPr>
      </w:pPr>
      <w:r w:rsidRPr="00EC6726">
        <w:rPr>
          <w:rFonts w:eastAsiaTheme="minorEastAsia"/>
          <w:b/>
          <w:bCs/>
          <w:color w:val="000000"/>
          <w:sz w:val="26"/>
          <w:szCs w:val="26"/>
          <w:lang w:eastAsia="en-AU"/>
        </w:rPr>
        <w:t>Made by the Minister for Climate, Environment and Water</w:t>
      </w:r>
    </w:p>
    <w:p w14:paraId="3C14FEE4" w14:textId="77777777" w:rsidR="00EC6726" w:rsidRDefault="00EC6726" w:rsidP="00EC6726">
      <w:pPr>
        <w:autoSpaceDE w:val="0"/>
        <w:autoSpaceDN w:val="0"/>
        <w:adjustRightInd w:val="0"/>
        <w:spacing w:before="120" w:after="0" w:line="240" w:lineRule="auto"/>
        <w:jc w:val="left"/>
        <w:rPr>
          <w:rFonts w:eastAsiaTheme="minorEastAsia"/>
          <w:color w:val="000000"/>
          <w:sz w:val="23"/>
          <w:szCs w:val="23"/>
          <w:lang w:eastAsia="en-AU"/>
        </w:rPr>
      </w:pPr>
      <w:r w:rsidRPr="00EC6726">
        <w:rPr>
          <w:rFonts w:eastAsiaTheme="minorEastAsia"/>
          <w:color w:val="000000"/>
          <w:sz w:val="23"/>
          <w:szCs w:val="23"/>
          <w:lang w:eastAsia="en-AU"/>
        </w:rPr>
        <w:t>On 24 February 2025</w:t>
      </w:r>
    </w:p>
    <w:p w14:paraId="608F9A27" w14:textId="77777777" w:rsidR="00EC6726" w:rsidRDefault="00EC6726" w:rsidP="00EC6726">
      <w:pPr>
        <w:pBdr>
          <w:bottom w:val="single" w:sz="4" w:space="1" w:color="auto"/>
        </w:pBdr>
        <w:spacing w:after="0" w:line="52" w:lineRule="exact"/>
        <w:jc w:val="center"/>
        <w:rPr>
          <w:rFonts w:eastAsiaTheme="minorEastAsia"/>
          <w:color w:val="000000"/>
          <w:sz w:val="23"/>
          <w:szCs w:val="23"/>
          <w:lang w:eastAsia="en-AU"/>
        </w:rPr>
      </w:pPr>
    </w:p>
    <w:p w14:paraId="77787B90" w14:textId="77777777" w:rsidR="00EC6726" w:rsidRDefault="00EC6726" w:rsidP="00EC6726">
      <w:pPr>
        <w:pBdr>
          <w:top w:val="single" w:sz="4" w:space="1" w:color="auto"/>
        </w:pBdr>
        <w:spacing w:before="34" w:after="0" w:line="14" w:lineRule="exact"/>
        <w:jc w:val="center"/>
        <w:rPr>
          <w:rFonts w:eastAsiaTheme="minorEastAsia"/>
          <w:color w:val="000000"/>
          <w:sz w:val="23"/>
          <w:szCs w:val="23"/>
          <w:lang w:eastAsia="en-AU"/>
        </w:rPr>
      </w:pPr>
    </w:p>
    <w:p w14:paraId="1AD9E354" w14:textId="757584FA" w:rsidR="00BB5B94" w:rsidRDefault="00BB5B94">
      <w:pPr>
        <w:spacing w:after="0" w:line="240" w:lineRule="auto"/>
        <w:jc w:val="left"/>
        <w:rPr>
          <w:lang w:eastAsia="en-AU"/>
        </w:rPr>
      </w:pPr>
      <w:r>
        <w:rPr>
          <w:lang w:eastAsia="en-AU"/>
        </w:rPr>
        <w:br w:type="page"/>
      </w:r>
    </w:p>
    <w:p w14:paraId="3AAB8740" w14:textId="3ACB9152" w:rsidR="00E7028F" w:rsidRDefault="007004B5" w:rsidP="007004B5">
      <w:pPr>
        <w:pStyle w:val="Heading2"/>
      </w:pPr>
      <w:bookmarkStart w:id="62" w:name="_Toc191542987"/>
      <w:r>
        <w:lastRenderedPageBreak/>
        <w:t>Passenger Transport Act 1994</w:t>
      </w:r>
      <w:bookmarkEnd w:id="62"/>
    </w:p>
    <w:p w14:paraId="61707C63" w14:textId="77777777" w:rsidR="00E7028F" w:rsidRDefault="00E7028F" w:rsidP="00E7028F">
      <w:pPr>
        <w:pStyle w:val="GG-Title2"/>
      </w:pPr>
      <w:r>
        <w:t>Section 32</w:t>
      </w:r>
    </w:p>
    <w:p w14:paraId="3360CF83" w14:textId="77777777" w:rsidR="00E7028F" w:rsidRDefault="00E7028F" w:rsidP="00E7028F">
      <w:pPr>
        <w:pStyle w:val="GG-Title3"/>
      </w:pPr>
      <w:r>
        <w:t>Establishment of Classes of Accreditation</w:t>
      </w:r>
    </w:p>
    <w:p w14:paraId="24059D7F" w14:textId="77777777" w:rsidR="00E7028F" w:rsidRDefault="00E7028F" w:rsidP="00E7028F">
      <w:pPr>
        <w:ind w:left="284" w:hanging="284"/>
      </w:pPr>
      <w:r>
        <w:rPr>
          <w:b/>
        </w:rPr>
        <w:t>1.</w:t>
      </w:r>
      <w:r>
        <w:rPr>
          <w:b/>
        </w:rPr>
        <w:tab/>
      </w:r>
      <w:r w:rsidRPr="003956DF">
        <w:rPr>
          <w:b/>
        </w:rPr>
        <w:t>Interpretation</w:t>
      </w:r>
    </w:p>
    <w:p w14:paraId="0677E0DD" w14:textId="77777777" w:rsidR="00E7028F" w:rsidRDefault="00E7028F" w:rsidP="00E7028F">
      <w:pPr>
        <w:ind w:left="284"/>
      </w:pPr>
      <w:r>
        <w:t xml:space="preserve">Any terms defined in the </w:t>
      </w:r>
      <w:r>
        <w:rPr>
          <w:i/>
        </w:rPr>
        <w:t xml:space="preserve">Passenger Transport Act 1994 </w:t>
      </w:r>
      <w:r>
        <w:t xml:space="preserve">(the Act) and the </w:t>
      </w:r>
      <w:r w:rsidRPr="00471E95">
        <w:rPr>
          <w:i/>
          <w:iCs/>
        </w:rPr>
        <w:t>Passenger Transport Regulations 2024</w:t>
      </w:r>
      <w:r>
        <w:t xml:space="preserve"> have the same meaning in this Notice.</w:t>
      </w:r>
    </w:p>
    <w:p w14:paraId="3FFA3BF4" w14:textId="77777777" w:rsidR="00E7028F" w:rsidRPr="003956DF" w:rsidRDefault="00E7028F" w:rsidP="00E7028F">
      <w:pPr>
        <w:ind w:left="284" w:hanging="284"/>
        <w:rPr>
          <w:b/>
        </w:rPr>
      </w:pPr>
      <w:r>
        <w:rPr>
          <w:b/>
        </w:rPr>
        <w:t>2.</w:t>
      </w:r>
      <w:r>
        <w:rPr>
          <w:b/>
        </w:rPr>
        <w:tab/>
      </w:r>
      <w:r w:rsidRPr="003956DF">
        <w:rPr>
          <w:b/>
        </w:rPr>
        <w:t>Revocation</w:t>
      </w:r>
    </w:p>
    <w:p w14:paraId="7DDAC5EB" w14:textId="77777777" w:rsidR="00E7028F" w:rsidRPr="003A1B4B" w:rsidRDefault="00E7028F" w:rsidP="00E7028F">
      <w:pPr>
        <w:ind w:left="284"/>
      </w:pPr>
      <w:r>
        <w:t xml:space="preserve">This Notice revokes and replaces the Notice of 2 April 2020 published on p681 of the </w:t>
      </w:r>
      <w:r>
        <w:rPr>
          <w:i/>
          <w:iCs/>
        </w:rPr>
        <w:t>Government Gazette</w:t>
      </w:r>
      <w:r>
        <w:t>.</w:t>
      </w:r>
    </w:p>
    <w:p w14:paraId="4CE7D71C" w14:textId="77777777" w:rsidR="00E7028F" w:rsidRPr="003956DF" w:rsidRDefault="00E7028F" w:rsidP="00E7028F">
      <w:pPr>
        <w:ind w:left="284" w:hanging="284"/>
        <w:rPr>
          <w:b/>
        </w:rPr>
      </w:pPr>
      <w:r>
        <w:rPr>
          <w:b/>
        </w:rPr>
        <w:t>3.</w:t>
      </w:r>
      <w:r>
        <w:rPr>
          <w:b/>
        </w:rPr>
        <w:tab/>
      </w:r>
      <w:r w:rsidRPr="003956DF">
        <w:rPr>
          <w:b/>
        </w:rPr>
        <w:t>Establishment</w:t>
      </w:r>
      <w:r w:rsidRPr="00471E95">
        <w:rPr>
          <w:b/>
        </w:rPr>
        <w:t>—</w:t>
      </w:r>
      <w:r>
        <w:rPr>
          <w:b/>
        </w:rPr>
        <w:t>Operators</w:t>
      </w:r>
    </w:p>
    <w:p w14:paraId="7534280F" w14:textId="77777777" w:rsidR="00E7028F" w:rsidRDefault="00E7028F" w:rsidP="00E7028F">
      <w:pPr>
        <w:ind w:left="284"/>
      </w:pPr>
      <w:r>
        <w:t xml:space="preserve">Pursuant to Section 32(3) of the Act, I, </w:t>
      </w:r>
      <w:r w:rsidRPr="003A1B4B">
        <w:t>Anastasios Koutsantonis</w:t>
      </w:r>
      <w:r>
        <w:t>, Minister for Infrastructure and Transport, hereby establish the following classes of accreditation for the purposes of Section 27 of the Act (Accreditation of operators):</w:t>
      </w:r>
    </w:p>
    <w:p w14:paraId="6CF1ADF3" w14:textId="77777777" w:rsidR="00E7028F" w:rsidRPr="00265D5F" w:rsidRDefault="00E7028F" w:rsidP="00E7028F">
      <w:pPr>
        <w:ind w:left="425"/>
      </w:pPr>
      <w:r>
        <w:rPr>
          <w:b/>
        </w:rPr>
        <w:t>Country Taxi Accreditation</w:t>
      </w:r>
      <w:r>
        <w:t>, for the provision of a passenger transport service using a country taxi, any journey being</w:t>
      </w:r>
      <w:r w:rsidRPr="00265D5F">
        <w:t xml:space="preserve"> </w:t>
      </w:r>
      <w:r>
        <w:t>not wholly within Metropolitan Adelaide;</w:t>
      </w:r>
    </w:p>
    <w:p w14:paraId="0EAB2FB4" w14:textId="77777777" w:rsidR="00E7028F" w:rsidRPr="00E14D4D" w:rsidRDefault="00E7028F" w:rsidP="00E7028F">
      <w:pPr>
        <w:ind w:left="425"/>
        <w:rPr>
          <w:b/>
        </w:rPr>
      </w:pPr>
      <w:r w:rsidRPr="00E14D4D">
        <w:rPr>
          <w:b/>
        </w:rPr>
        <w:t>Horse-drawn Vehicle Accreditation</w:t>
      </w:r>
      <w:r>
        <w:t>, for the provision of a passenger transport service using a horse-drawn vehicle;</w:t>
      </w:r>
    </w:p>
    <w:p w14:paraId="5851B992" w14:textId="77777777" w:rsidR="00E7028F" w:rsidRPr="00E14D4D" w:rsidRDefault="00E7028F" w:rsidP="00E7028F">
      <w:pPr>
        <w:ind w:left="425"/>
        <w:rPr>
          <w:b/>
        </w:rPr>
      </w:pPr>
      <w:r w:rsidRPr="00E14D4D">
        <w:rPr>
          <w:b/>
        </w:rPr>
        <w:t>Large Passenger Vehicle Accreditation</w:t>
      </w:r>
      <w:r>
        <w:t>, for the provision of a passenger transport service using a large passenger vehicle;</w:t>
      </w:r>
    </w:p>
    <w:p w14:paraId="5249042F" w14:textId="77777777" w:rsidR="00E7028F" w:rsidRPr="00E14D4D" w:rsidRDefault="00E7028F" w:rsidP="00E7028F">
      <w:pPr>
        <w:ind w:left="425"/>
        <w:rPr>
          <w:b/>
        </w:rPr>
      </w:pPr>
      <w:r>
        <w:rPr>
          <w:b/>
        </w:rPr>
        <w:t xml:space="preserve">Metropolitan </w:t>
      </w:r>
      <w:r w:rsidRPr="00E14D4D">
        <w:rPr>
          <w:b/>
        </w:rPr>
        <w:t>Taxi Accreditation</w:t>
      </w:r>
      <w:r>
        <w:t>, for the provision of a passenger transport service using a metropolitan taxi, any journey being not wholly outside Metropolitan Adelaide;</w:t>
      </w:r>
    </w:p>
    <w:p w14:paraId="5632595D" w14:textId="77777777" w:rsidR="00E7028F" w:rsidRPr="00E904BF" w:rsidRDefault="00E7028F" w:rsidP="00E7028F">
      <w:pPr>
        <w:ind w:left="425"/>
      </w:pPr>
      <w:r w:rsidRPr="00E14D4D">
        <w:rPr>
          <w:b/>
        </w:rPr>
        <w:t>Small Passenger Vehicle (Metropolitan) Accreditation</w:t>
      </w:r>
      <w:r>
        <w:t xml:space="preserve">, for the provision of a passenger transport </w:t>
      </w:r>
      <w:r w:rsidRPr="00E904BF">
        <w:t>service using a small passenger vehicle;</w:t>
      </w:r>
    </w:p>
    <w:p w14:paraId="649B19E7" w14:textId="77777777" w:rsidR="00E7028F" w:rsidRPr="00E904BF" w:rsidRDefault="00E7028F" w:rsidP="00E7028F">
      <w:pPr>
        <w:ind w:left="425"/>
      </w:pPr>
      <w:r w:rsidRPr="00E904BF">
        <w:rPr>
          <w:b/>
        </w:rPr>
        <w:t>Small Passenger Vehicle (Non-Metropolitan) Accreditation</w:t>
      </w:r>
      <w:r w:rsidRPr="00E904BF">
        <w:t>, for the provision of a passenger transport service using a small passenger vehicle, any journey being not wholly within Metropolitan Adelaide;</w:t>
      </w:r>
    </w:p>
    <w:p w14:paraId="2D3D99F2" w14:textId="77777777" w:rsidR="00E7028F" w:rsidRDefault="00E7028F" w:rsidP="00E7028F">
      <w:pPr>
        <w:ind w:left="425"/>
      </w:pPr>
      <w:r w:rsidRPr="00E904BF">
        <w:rPr>
          <w:b/>
        </w:rPr>
        <w:t>Small Passenger Vehicle (Special Purpose) Accreditation</w:t>
      </w:r>
      <w:r w:rsidRPr="00E904BF">
        <w:t>, for the provision of a passenger transport service using a small passenger vehicle under a</w:t>
      </w:r>
      <w:r>
        <w:t>n approved</w:t>
      </w:r>
      <w:r w:rsidRPr="00E904BF">
        <w:t xml:space="preserve"> limited plan of operation</w:t>
      </w:r>
      <w:r>
        <w:t>;</w:t>
      </w:r>
    </w:p>
    <w:p w14:paraId="7B0BDFA5" w14:textId="7F96E587" w:rsidR="00836CCB" w:rsidRDefault="00E7028F" w:rsidP="00BB5B94">
      <w:pPr>
        <w:ind w:left="425"/>
      </w:pPr>
      <w:r w:rsidRPr="00E904BF">
        <w:rPr>
          <w:b/>
        </w:rPr>
        <w:t>Small Passenger Vehicle (</w:t>
      </w:r>
      <w:r>
        <w:rPr>
          <w:b/>
        </w:rPr>
        <w:t>Traditional</w:t>
      </w:r>
      <w:r w:rsidRPr="00E904BF">
        <w:rPr>
          <w:b/>
        </w:rPr>
        <w:t>) Accreditation</w:t>
      </w:r>
      <w:r w:rsidRPr="00E904BF">
        <w:t>, for the provision of a passenger transport service using a small passenger vehicle under a</w:t>
      </w:r>
      <w:r>
        <w:t>n approved</w:t>
      </w:r>
      <w:r w:rsidRPr="00E904BF">
        <w:t xml:space="preserve"> limited plan of operation.</w:t>
      </w:r>
    </w:p>
    <w:p w14:paraId="6B3A17F3" w14:textId="77777777" w:rsidR="00E7028F" w:rsidRPr="003956DF" w:rsidRDefault="00E7028F" w:rsidP="00E7028F">
      <w:pPr>
        <w:ind w:left="284" w:hanging="284"/>
        <w:rPr>
          <w:b/>
        </w:rPr>
      </w:pPr>
      <w:r>
        <w:rPr>
          <w:b/>
        </w:rPr>
        <w:t>4.</w:t>
      </w:r>
      <w:r>
        <w:rPr>
          <w:b/>
        </w:rPr>
        <w:tab/>
      </w:r>
      <w:r w:rsidRPr="003956DF">
        <w:rPr>
          <w:b/>
        </w:rPr>
        <w:t>Establishment</w:t>
      </w:r>
      <w:r w:rsidRPr="00471E95">
        <w:rPr>
          <w:b/>
        </w:rPr>
        <w:t>—</w:t>
      </w:r>
      <w:r>
        <w:rPr>
          <w:b/>
        </w:rPr>
        <w:t>Drivers</w:t>
      </w:r>
    </w:p>
    <w:p w14:paraId="2EB5AF14" w14:textId="77777777" w:rsidR="00E7028F" w:rsidRDefault="00E7028F" w:rsidP="00E7028F">
      <w:pPr>
        <w:ind w:left="284"/>
      </w:pPr>
      <w:r>
        <w:t xml:space="preserve">Pursuant to Section 32(3) of the Act, I, </w:t>
      </w:r>
      <w:r w:rsidRPr="003A1B4B">
        <w:t>Anastasios Koutsantonis</w:t>
      </w:r>
      <w:r>
        <w:t>, Minister for Infrastructure and Transport, hereby establish the following classes of accreditation for the purposes of Section 28 of the Act (Accreditation of drivers):</w:t>
      </w:r>
    </w:p>
    <w:p w14:paraId="0B0A5807" w14:textId="77777777" w:rsidR="00E7028F" w:rsidRPr="00E14D4D" w:rsidRDefault="00E7028F" w:rsidP="00E7028F">
      <w:pPr>
        <w:ind w:left="425"/>
        <w:rPr>
          <w:b/>
        </w:rPr>
      </w:pPr>
      <w:r w:rsidRPr="00E14D4D">
        <w:rPr>
          <w:b/>
        </w:rPr>
        <w:t>Horse-drawn</w:t>
      </w:r>
      <w:r>
        <w:rPr>
          <w:b/>
        </w:rPr>
        <w:t xml:space="preserve"> Vehicle</w:t>
      </w:r>
      <w:r w:rsidRPr="00E14D4D">
        <w:rPr>
          <w:b/>
        </w:rPr>
        <w:t xml:space="preserve"> </w:t>
      </w:r>
      <w:r>
        <w:rPr>
          <w:b/>
        </w:rPr>
        <w:t xml:space="preserve">Driver </w:t>
      </w:r>
      <w:r w:rsidRPr="00E14D4D">
        <w:rPr>
          <w:b/>
        </w:rPr>
        <w:t>Accreditation</w:t>
      </w:r>
      <w:r>
        <w:t>, for the provision of a passenger transport service using a horse-drawn vehicle;</w:t>
      </w:r>
    </w:p>
    <w:p w14:paraId="26DFBC24" w14:textId="77777777" w:rsidR="00E7028F" w:rsidRDefault="00E7028F" w:rsidP="00E7028F">
      <w:pPr>
        <w:ind w:left="425"/>
      </w:pPr>
      <w:r>
        <w:rPr>
          <w:b/>
        </w:rPr>
        <w:t xml:space="preserve">Large Passenger </w:t>
      </w:r>
      <w:r w:rsidRPr="002D1F02">
        <w:rPr>
          <w:b/>
        </w:rPr>
        <w:t>Vehicle</w:t>
      </w:r>
      <w:r>
        <w:rPr>
          <w:b/>
        </w:rPr>
        <w:t xml:space="preserve"> Driver Accreditation</w:t>
      </w:r>
      <w:r>
        <w:t>, for the provision of a passenger transport service using a large passenger vehicle;</w:t>
      </w:r>
    </w:p>
    <w:p w14:paraId="7041825F" w14:textId="77777777" w:rsidR="00E7028F" w:rsidRDefault="00E7028F" w:rsidP="00E7028F">
      <w:pPr>
        <w:ind w:left="425"/>
      </w:pPr>
      <w:r>
        <w:rPr>
          <w:b/>
        </w:rPr>
        <w:t>Metropolitan Taxi Driver Accreditation</w:t>
      </w:r>
      <w:r>
        <w:t>, for the provision of a passenger transport service using a metropolitan taxi, any journey being</w:t>
      </w:r>
      <w:r w:rsidRPr="00265D5F">
        <w:t xml:space="preserve"> </w:t>
      </w:r>
      <w:r>
        <w:t>not wholly within Metropolitan Adelaide;</w:t>
      </w:r>
    </w:p>
    <w:p w14:paraId="1C3379CA" w14:textId="77777777" w:rsidR="00E7028F" w:rsidRDefault="00E7028F" w:rsidP="00E7028F">
      <w:pPr>
        <w:ind w:left="425"/>
      </w:pPr>
      <w:r>
        <w:rPr>
          <w:b/>
        </w:rPr>
        <w:t>Motor Cycle Driver Accreditation</w:t>
      </w:r>
      <w:r>
        <w:t>, for the provision of a passenger transport service using a motor cycle;</w:t>
      </w:r>
    </w:p>
    <w:p w14:paraId="7DD3F6D9" w14:textId="77777777" w:rsidR="00E7028F" w:rsidRDefault="00E7028F" w:rsidP="00E7028F">
      <w:pPr>
        <w:ind w:left="425"/>
      </w:pPr>
      <w:r>
        <w:rPr>
          <w:b/>
        </w:rPr>
        <w:t xml:space="preserve">Small Passenger </w:t>
      </w:r>
      <w:r w:rsidRPr="002D1F02">
        <w:rPr>
          <w:b/>
        </w:rPr>
        <w:t>Vehicle</w:t>
      </w:r>
      <w:r>
        <w:rPr>
          <w:b/>
        </w:rPr>
        <w:t xml:space="preserve"> Driver Accreditation</w:t>
      </w:r>
      <w:r>
        <w:t>, for the provision of a passenger transport service using a small passenger vehicle.</w:t>
      </w:r>
    </w:p>
    <w:p w14:paraId="47B1D313" w14:textId="77777777" w:rsidR="00E7028F" w:rsidRPr="003956DF" w:rsidRDefault="00E7028F" w:rsidP="00E7028F">
      <w:pPr>
        <w:ind w:left="284" w:hanging="284"/>
        <w:rPr>
          <w:b/>
        </w:rPr>
      </w:pPr>
      <w:r>
        <w:rPr>
          <w:b/>
        </w:rPr>
        <w:t>5.</w:t>
      </w:r>
      <w:r>
        <w:rPr>
          <w:b/>
        </w:rPr>
        <w:tab/>
      </w:r>
      <w:r w:rsidRPr="003956DF">
        <w:rPr>
          <w:b/>
        </w:rPr>
        <w:t>Establishment</w:t>
      </w:r>
      <w:r w:rsidRPr="00F54ED3">
        <w:rPr>
          <w:b/>
        </w:rPr>
        <w:t>—</w:t>
      </w:r>
      <w:r>
        <w:rPr>
          <w:b/>
        </w:rPr>
        <w:t>Centralised booking services</w:t>
      </w:r>
    </w:p>
    <w:p w14:paraId="0BFB5DA4" w14:textId="77777777" w:rsidR="00E7028F" w:rsidRDefault="00E7028F" w:rsidP="00E7028F">
      <w:pPr>
        <w:ind w:left="284"/>
      </w:pPr>
      <w:r>
        <w:t xml:space="preserve">Pursuant to Section 32(3) of the Act, I, </w:t>
      </w:r>
      <w:bookmarkStart w:id="63" w:name="_Hlk176420221"/>
      <w:r w:rsidRPr="003A1B4B">
        <w:t>Anastasios Koutsantonis</w:t>
      </w:r>
      <w:bookmarkEnd w:id="63"/>
      <w:r>
        <w:t>, Minister for Infrastructure and Transport, hereby establish the following classes of accreditation for the purposes of Section 29 of the Act (Accreditation of centralised booking services):</w:t>
      </w:r>
    </w:p>
    <w:p w14:paraId="454418F8" w14:textId="77777777" w:rsidR="00E7028F" w:rsidRDefault="00E7028F" w:rsidP="00E7028F">
      <w:pPr>
        <w:ind w:left="425"/>
      </w:pPr>
      <w:r>
        <w:rPr>
          <w:b/>
        </w:rPr>
        <w:t>Chauffeur Booking Service Accreditation</w:t>
      </w:r>
      <w:r>
        <w:t>, for the provision of a passenger transport service using chauffeur vehicle;</w:t>
      </w:r>
    </w:p>
    <w:p w14:paraId="607ECB5E" w14:textId="77777777" w:rsidR="00E7028F" w:rsidRDefault="00E7028F" w:rsidP="00E7028F">
      <w:pPr>
        <w:ind w:left="425"/>
      </w:pPr>
      <w:r>
        <w:rPr>
          <w:b/>
        </w:rPr>
        <w:t>Taxi Booking Service Accreditation</w:t>
      </w:r>
      <w:r>
        <w:t>, for the provision of a passenger transport service using a taxi.</w:t>
      </w:r>
    </w:p>
    <w:p w14:paraId="7B4CB6DA" w14:textId="77777777" w:rsidR="00E7028F" w:rsidRPr="003956DF" w:rsidRDefault="00E7028F" w:rsidP="00E7028F">
      <w:pPr>
        <w:ind w:left="284" w:hanging="284"/>
        <w:rPr>
          <w:b/>
        </w:rPr>
      </w:pPr>
      <w:r>
        <w:rPr>
          <w:b/>
        </w:rPr>
        <w:t>6.</w:t>
      </w:r>
      <w:r>
        <w:rPr>
          <w:b/>
        </w:rPr>
        <w:tab/>
      </w:r>
      <w:r w:rsidRPr="003956DF">
        <w:rPr>
          <w:b/>
        </w:rPr>
        <w:t>Execution</w:t>
      </w:r>
    </w:p>
    <w:p w14:paraId="490FC401" w14:textId="77777777" w:rsidR="00E7028F" w:rsidRDefault="00E7028F" w:rsidP="00E7028F">
      <w:pPr>
        <w:spacing w:after="120" w:line="257" w:lineRule="auto"/>
        <w:ind w:left="567" w:hanging="567"/>
      </w:pPr>
      <w:r>
        <w:t>Dated: 21 February 2025</w:t>
      </w:r>
    </w:p>
    <w:p w14:paraId="7CDF291C" w14:textId="77777777" w:rsidR="00E7028F" w:rsidRDefault="00E7028F" w:rsidP="00E7028F">
      <w:pPr>
        <w:pStyle w:val="GG-Signature"/>
        <w:rPr>
          <w:rStyle w:val="GG-SNameChar"/>
          <w:rFonts w:eastAsia="Calibri"/>
        </w:rPr>
      </w:pPr>
      <w:r w:rsidRPr="00471E95">
        <w:rPr>
          <w:rStyle w:val="GG-SNameChar"/>
        </w:rPr>
        <w:t>Hon Anastasios Koutsantonis MP</w:t>
      </w:r>
    </w:p>
    <w:p w14:paraId="183913B5" w14:textId="77777777" w:rsidR="00E7028F" w:rsidRDefault="00E7028F" w:rsidP="00E7028F">
      <w:pPr>
        <w:pStyle w:val="GG-Signature"/>
      </w:pPr>
      <w:r>
        <w:t>Minister for Infrastructure and Transport</w:t>
      </w:r>
    </w:p>
    <w:p w14:paraId="65A2DA2E" w14:textId="77777777" w:rsidR="00E7028F" w:rsidRDefault="00E7028F" w:rsidP="00E7028F">
      <w:pPr>
        <w:pStyle w:val="GG-Signature"/>
        <w:pBdr>
          <w:bottom w:val="single" w:sz="4" w:space="1" w:color="auto"/>
        </w:pBdr>
        <w:spacing w:line="52" w:lineRule="exact"/>
        <w:jc w:val="center"/>
      </w:pPr>
    </w:p>
    <w:p w14:paraId="0F84898D" w14:textId="77777777" w:rsidR="00E7028F" w:rsidRDefault="00E7028F" w:rsidP="00E7028F">
      <w:pPr>
        <w:pStyle w:val="GG-Signature"/>
        <w:pBdr>
          <w:top w:val="single" w:sz="4" w:space="1" w:color="auto"/>
        </w:pBdr>
        <w:spacing w:before="34" w:line="14" w:lineRule="exact"/>
        <w:jc w:val="center"/>
      </w:pPr>
    </w:p>
    <w:p w14:paraId="3ABC7E19" w14:textId="77777777" w:rsidR="00E7028F" w:rsidRPr="00A372A2" w:rsidRDefault="00E7028F" w:rsidP="00E7028F">
      <w:pPr>
        <w:pStyle w:val="NoSpacing"/>
      </w:pPr>
    </w:p>
    <w:p w14:paraId="73EB9047" w14:textId="14F0EF85" w:rsidR="00E7028F" w:rsidRPr="00E7028F" w:rsidRDefault="007004B5" w:rsidP="007004B5">
      <w:pPr>
        <w:pStyle w:val="Heading2"/>
      </w:pPr>
      <w:bookmarkStart w:id="64" w:name="_Toc191542988"/>
      <w:r w:rsidRPr="00E7028F">
        <w:t xml:space="preserve">Planning, Development </w:t>
      </w:r>
      <w:r>
        <w:t>a</w:t>
      </w:r>
      <w:r w:rsidRPr="00E7028F">
        <w:t>nd Infrastructure Act 2016</w:t>
      </w:r>
      <w:bookmarkEnd w:id="64"/>
    </w:p>
    <w:p w14:paraId="2F0AFBCA" w14:textId="77777777" w:rsidR="00E7028F" w:rsidRPr="00E7028F" w:rsidRDefault="00E7028F" w:rsidP="00E7028F">
      <w:pPr>
        <w:jc w:val="center"/>
        <w:rPr>
          <w:smallCaps/>
          <w:szCs w:val="17"/>
        </w:rPr>
      </w:pPr>
      <w:r w:rsidRPr="00E7028F">
        <w:rPr>
          <w:smallCaps/>
          <w:szCs w:val="17"/>
        </w:rPr>
        <w:t>SECTION 76</w:t>
      </w:r>
    </w:p>
    <w:p w14:paraId="536A41EF" w14:textId="77777777" w:rsidR="00E7028F" w:rsidRPr="00E7028F" w:rsidRDefault="00E7028F" w:rsidP="00E7028F">
      <w:pPr>
        <w:jc w:val="center"/>
        <w:rPr>
          <w:i/>
          <w:szCs w:val="17"/>
        </w:rPr>
      </w:pPr>
      <w:r w:rsidRPr="00E7028F">
        <w:rPr>
          <w:i/>
          <w:szCs w:val="17"/>
        </w:rPr>
        <w:t>Amendment to the Planning and Design Code</w:t>
      </w:r>
    </w:p>
    <w:p w14:paraId="2E704797" w14:textId="77777777" w:rsidR="00E7028F" w:rsidRPr="00E7028F" w:rsidRDefault="00E7028F" w:rsidP="00E7028F">
      <w:pPr>
        <w:rPr>
          <w:i/>
          <w:iCs/>
        </w:rPr>
      </w:pPr>
      <w:r w:rsidRPr="00E7028F">
        <w:rPr>
          <w:i/>
          <w:iCs/>
        </w:rPr>
        <w:t>Preamble</w:t>
      </w:r>
    </w:p>
    <w:p w14:paraId="24773690" w14:textId="77777777" w:rsidR="00E7028F" w:rsidRPr="00E7028F" w:rsidRDefault="00E7028F" w:rsidP="00E7028F">
      <w:pPr>
        <w:rPr>
          <w:spacing w:val="-2"/>
        </w:rPr>
      </w:pPr>
      <w:r w:rsidRPr="00E7028F">
        <w:rPr>
          <w:spacing w:val="-2"/>
        </w:rPr>
        <w:t xml:space="preserve">It is necessary to amend the Planning and Design Code (the Code) in operation at 13 February 2025 (Version 2025.3) </w:t>
      </w:r>
      <w:proofErr w:type="gramStart"/>
      <w:r w:rsidRPr="00E7028F">
        <w:rPr>
          <w:spacing w:val="-2"/>
        </w:rPr>
        <w:t>in order to</w:t>
      </w:r>
      <w:proofErr w:type="gramEnd"/>
      <w:r w:rsidRPr="00E7028F">
        <w:rPr>
          <w:spacing w:val="-2"/>
        </w:rPr>
        <w:t xml:space="preserve"> make changes:</w:t>
      </w:r>
    </w:p>
    <w:p w14:paraId="0C74E977" w14:textId="77777777" w:rsidR="00E7028F" w:rsidRPr="00E7028F" w:rsidRDefault="00E7028F" w:rsidP="00E7028F">
      <w:pPr>
        <w:ind w:left="284" w:hanging="142"/>
      </w:pPr>
      <w:r w:rsidRPr="00E7028F">
        <w:t>•</w:t>
      </w:r>
      <w:r w:rsidRPr="00E7028F">
        <w:tab/>
      </w:r>
      <w:r w:rsidRPr="00E7028F">
        <w:rPr>
          <w:spacing w:val="-2"/>
        </w:rPr>
        <w:t xml:space="preserve">of form relating to the Code’s spatial layers and their relationship with land parcels. Note: There are no changes to the application of zone, subzone or overlay boundaries and their relationship with affected parcels or the intent of policy application </w:t>
      </w:r>
      <w:proofErr w:type="gramStart"/>
      <w:r w:rsidRPr="00E7028F">
        <w:rPr>
          <w:spacing w:val="-2"/>
        </w:rPr>
        <w:t>as a result of</w:t>
      </w:r>
      <w:proofErr w:type="gramEnd"/>
      <w:r w:rsidRPr="00E7028F">
        <w:rPr>
          <w:spacing w:val="-2"/>
        </w:rPr>
        <w:t xml:space="preserve"> this amendment.</w:t>
      </w:r>
    </w:p>
    <w:p w14:paraId="7C2D21B7" w14:textId="77777777" w:rsidR="00E7028F" w:rsidRPr="00E7028F" w:rsidRDefault="00E7028F" w:rsidP="00E7028F">
      <w:pPr>
        <w:ind w:left="284" w:hanging="142"/>
        <w:rPr>
          <w:spacing w:val="-4"/>
        </w:rPr>
      </w:pPr>
      <w:r w:rsidRPr="00E7028F">
        <w:t>•</w:t>
      </w:r>
      <w:r w:rsidRPr="00E7028F">
        <w:tab/>
      </w:r>
      <w:r w:rsidRPr="00E7028F">
        <w:rPr>
          <w:spacing w:val="-4"/>
        </w:rPr>
        <w:t xml:space="preserve">to correct an error with regards to the spatial application of the Community Facilities Zone </w:t>
      </w:r>
      <w:proofErr w:type="gramStart"/>
      <w:r w:rsidRPr="00E7028F">
        <w:rPr>
          <w:spacing w:val="-4"/>
        </w:rPr>
        <w:t>in the area of</w:t>
      </w:r>
      <w:proofErr w:type="gramEnd"/>
      <w:r w:rsidRPr="00E7028F">
        <w:rPr>
          <w:spacing w:val="-4"/>
        </w:rPr>
        <w:t xml:space="preserve"> the Adelaide Hills Council—being a misalignment of the zone boundary</w:t>
      </w:r>
    </w:p>
    <w:p w14:paraId="6A735F1E" w14:textId="77777777" w:rsidR="00E7028F" w:rsidRPr="00E7028F" w:rsidRDefault="00E7028F" w:rsidP="00E7028F">
      <w:pPr>
        <w:ind w:left="284" w:hanging="142"/>
      </w:pPr>
      <w:r w:rsidRPr="00E7028F">
        <w:t>•</w:t>
      </w:r>
      <w:r w:rsidRPr="00E7028F">
        <w:tab/>
      </w:r>
      <w:r w:rsidRPr="00E7028F">
        <w:rPr>
          <w:spacing w:val="-4"/>
        </w:rPr>
        <w:t xml:space="preserve">to correct an error with regards to the spatial application of the Rural Neighbourhood Zone </w:t>
      </w:r>
      <w:proofErr w:type="gramStart"/>
      <w:r w:rsidRPr="00E7028F">
        <w:rPr>
          <w:spacing w:val="-4"/>
        </w:rPr>
        <w:t>in the area of</w:t>
      </w:r>
      <w:proofErr w:type="gramEnd"/>
      <w:r w:rsidRPr="00E7028F">
        <w:rPr>
          <w:spacing w:val="-4"/>
        </w:rPr>
        <w:t xml:space="preserve"> the Adelaide Hills Council—being a misalignment of the zone boundary</w:t>
      </w:r>
    </w:p>
    <w:p w14:paraId="6714E2A1" w14:textId="14EFA2B7" w:rsidR="00BB5B94" w:rsidRDefault="00E7028F" w:rsidP="00E7028F">
      <w:pPr>
        <w:ind w:left="284" w:hanging="142"/>
        <w:rPr>
          <w:spacing w:val="-2"/>
        </w:rPr>
      </w:pPr>
      <w:r w:rsidRPr="00E7028F">
        <w:t>•</w:t>
      </w:r>
      <w:r w:rsidRPr="00E7028F">
        <w:tab/>
      </w:r>
      <w:r w:rsidRPr="00E7028F">
        <w:rPr>
          <w:spacing w:val="-2"/>
        </w:rPr>
        <w:t xml:space="preserve">to correct an error with regards to the spatial application of the Adelaide Hills Subzone </w:t>
      </w:r>
      <w:proofErr w:type="gramStart"/>
      <w:r w:rsidRPr="00E7028F">
        <w:rPr>
          <w:spacing w:val="-2"/>
        </w:rPr>
        <w:t>in the area of</w:t>
      </w:r>
      <w:proofErr w:type="gramEnd"/>
      <w:r w:rsidRPr="00E7028F">
        <w:rPr>
          <w:spacing w:val="-2"/>
        </w:rPr>
        <w:t xml:space="preserve"> the Adelaide Hills Council—being a misalignment of the zone boundary</w:t>
      </w:r>
    </w:p>
    <w:p w14:paraId="48420E30" w14:textId="77777777" w:rsidR="00BB5B94" w:rsidRDefault="00BB5B94">
      <w:pPr>
        <w:spacing w:after="0" w:line="240" w:lineRule="auto"/>
        <w:jc w:val="left"/>
        <w:rPr>
          <w:spacing w:val="-2"/>
        </w:rPr>
      </w:pPr>
      <w:r>
        <w:rPr>
          <w:spacing w:val="-2"/>
        </w:rPr>
        <w:br w:type="page"/>
      </w:r>
    </w:p>
    <w:p w14:paraId="27472770" w14:textId="77777777" w:rsidR="00E7028F" w:rsidRPr="00E7028F" w:rsidRDefault="00E7028F" w:rsidP="00E7028F">
      <w:pPr>
        <w:ind w:left="284" w:hanging="284"/>
      </w:pPr>
      <w:r w:rsidRPr="00E7028F">
        <w:lastRenderedPageBreak/>
        <w:t>1.</w:t>
      </w:r>
      <w:r w:rsidRPr="00E7028F">
        <w:tab/>
        <w:t xml:space="preserve">Pursuant to Section 76 of the </w:t>
      </w:r>
      <w:r w:rsidRPr="00E7028F">
        <w:rPr>
          <w:i/>
          <w:iCs/>
        </w:rPr>
        <w:t>Planning, Development and Infrastructure Act 2016</w:t>
      </w:r>
      <w:r w:rsidRPr="00E7028F">
        <w:t xml:space="preserve"> (the Act), I hereby amend the Code </w:t>
      </w:r>
      <w:proofErr w:type="gramStart"/>
      <w:r w:rsidRPr="00E7028F">
        <w:t>in order to</w:t>
      </w:r>
      <w:proofErr w:type="gramEnd"/>
      <w:r w:rsidRPr="00E7028F">
        <w:t xml:space="preserve"> make changes of form (without altering the effect of underlying policy), correct errors and make operational amendments as follows:</w:t>
      </w:r>
    </w:p>
    <w:p w14:paraId="6FC0AB35" w14:textId="77777777" w:rsidR="00E7028F" w:rsidRPr="00E7028F" w:rsidRDefault="00E7028F" w:rsidP="00E7028F">
      <w:pPr>
        <w:ind w:left="567" w:hanging="284"/>
      </w:pPr>
      <w:r w:rsidRPr="00E7028F">
        <w:t>(a)</w:t>
      </w:r>
      <w:r w:rsidRPr="00E7028F">
        <w:tab/>
        <w:t xml:space="preserve">Undertake minor alterations to the geometry of the spatial layers and data in the Code to maintain the current relationship between the parcel boundaries and Code data </w:t>
      </w:r>
      <w:proofErr w:type="gramStart"/>
      <w:r w:rsidRPr="00E7028F">
        <w:t>as a result of</w:t>
      </w:r>
      <w:proofErr w:type="gramEnd"/>
      <w:r w:rsidRPr="00E7028F">
        <w:t xml:space="preserve"> the following:</w:t>
      </w:r>
    </w:p>
    <w:p w14:paraId="4D7500F2" w14:textId="77777777" w:rsidR="00E7028F" w:rsidRPr="00E7028F" w:rsidRDefault="00E7028F" w:rsidP="00E7028F">
      <w:pPr>
        <w:ind w:left="992" w:hanging="425"/>
      </w:pPr>
      <w:r w:rsidRPr="00E7028F">
        <w:t>(</w:t>
      </w:r>
      <w:proofErr w:type="spellStart"/>
      <w:r w:rsidRPr="00E7028F">
        <w:t>i</w:t>
      </w:r>
      <w:proofErr w:type="spellEnd"/>
      <w:r w:rsidRPr="00E7028F">
        <w:t>)</w:t>
      </w:r>
      <w:r w:rsidRPr="00E7028F">
        <w:tab/>
        <w:t>New plans of division deposited in the Land Titles Office between 5 February 2025 and 18 February 2025 affecting the following spatial and data layers in the Code:</w:t>
      </w:r>
    </w:p>
    <w:p w14:paraId="1CB224F3" w14:textId="77777777" w:rsidR="00E7028F" w:rsidRPr="00E7028F" w:rsidRDefault="00E7028F" w:rsidP="00E7028F">
      <w:pPr>
        <w:ind w:left="1276" w:hanging="284"/>
      </w:pPr>
      <w:r w:rsidRPr="00E7028F">
        <w:t>A.</w:t>
      </w:r>
      <w:r w:rsidRPr="00E7028F">
        <w:tab/>
        <w:t>Zones and subzones</w:t>
      </w:r>
    </w:p>
    <w:p w14:paraId="79403A5E" w14:textId="77777777" w:rsidR="00E7028F" w:rsidRPr="00E7028F" w:rsidRDefault="00E7028F" w:rsidP="00E7028F">
      <w:pPr>
        <w:ind w:left="1276" w:hanging="284"/>
      </w:pPr>
      <w:r w:rsidRPr="00E7028F">
        <w:t>B.</w:t>
      </w:r>
      <w:r w:rsidRPr="00E7028F">
        <w:tab/>
        <w:t>Technical and Numeric Variations</w:t>
      </w:r>
    </w:p>
    <w:p w14:paraId="300C1BEA" w14:textId="77777777" w:rsidR="00E7028F" w:rsidRPr="00E7028F" w:rsidRDefault="00E7028F" w:rsidP="00E7028F">
      <w:pPr>
        <w:ind w:left="1276"/>
      </w:pPr>
      <w:r w:rsidRPr="00E7028F">
        <w:t>•</w:t>
      </w:r>
      <w:r w:rsidRPr="00E7028F">
        <w:tab/>
        <w:t>Building Heights (Levels)</w:t>
      </w:r>
    </w:p>
    <w:p w14:paraId="5B97ABE9" w14:textId="77777777" w:rsidR="00E7028F" w:rsidRPr="00E7028F" w:rsidRDefault="00E7028F" w:rsidP="00E7028F">
      <w:pPr>
        <w:ind w:left="1276"/>
      </w:pPr>
      <w:r w:rsidRPr="00E7028F">
        <w:t>•</w:t>
      </w:r>
      <w:r w:rsidRPr="00E7028F">
        <w:tab/>
        <w:t>Building Heights (Metres)</w:t>
      </w:r>
    </w:p>
    <w:p w14:paraId="64AAE38E" w14:textId="77777777" w:rsidR="00E7028F" w:rsidRPr="00E7028F" w:rsidRDefault="00E7028F" w:rsidP="00E7028F">
      <w:pPr>
        <w:ind w:left="1276"/>
      </w:pPr>
      <w:r w:rsidRPr="00E7028F">
        <w:t>•</w:t>
      </w:r>
      <w:r w:rsidRPr="00E7028F">
        <w:tab/>
        <w:t>Concept Plan</w:t>
      </w:r>
    </w:p>
    <w:p w14:paraId="0AE8BD98" w14:textId="77777777" w:rsidR="00E7028F" w:rsidRPr="00E7028F" w:rsidRDefault="00E7028F" w:rsidP="00E7028F">
      <w:pPr>
        <w:ind w:left="1276"/>
      </w:pPr>
      <w:r w:rsidRPr="00E7028F">
        <w:t>•</w:t>
      </w:r>
      <w:r w:rsidRPr="00E7028F">
        <w:tab/>
        <w:t>Gradient Minimum Site Area</w:t>
      </w:r>
    </w:p>
    <w:p w14:paraId="1DBE1F20" w14:textId="77777777" w:rsidR="00E7028F" w:rsidRPr="00E7028F" w:rsidRDefault="00E7028F" w:rsidP="00E7028F">
      <w:pPr>
        <w:ind w:left="1276"/>
      </w:pPr>
      <w:r w:rsidRPr="00E7028F">
        <w:t>•</w:t>
      </w:r>
      <w:r w:rsidRPr="00E7028F">
        <w:tab/>
        <w:t>Interface Height</w:t>
      </w:r>
    </w:p>
    <w:p w14:paraId="21BCDD3A" w14:textId="77777777" w:rsidR="00E7028F" w:rsidRPr="00E7028F" w:rsidRDefault="00E7028F" w:rsidP="00E7028F">
      <w:pPr>
        <w:ind w:left="1276"/>
      </w:pPr>
      <w:r w:rsidRPr="00E7028F">
        <w:t>•</w:t>
      </w:r>
      <w:r w:rsidRPr="00E7028F">
        <w:tab/>
        <w:t>Minimum Dwelling Allotment Size</w:t>
      </w:r>
    </w:p>
    <w:p w14:paraId="657FC24D" w14:textId="77777777" w:rsidR="00E7028F" w:rsidRPr="00E7028F" w:rsidRDefault="00E7028F" w:rsidP="00E7028F">
      <w:pPr>
        <w:ind w:left="1276"/>
      </w:pPr>
      <w:r w:rsidRPr="00E7028F">
        <w:t>•</w:t>
      </w:r>
      <w:r w:rsidRPr="00E7028F">
        <w:tab/>
        <w:t>Minimum Frontage</w:t>
      </w:r>
    </w:p>
    <w:p w14:paraId="714DE1B5" w14:textId="77777777" w:rsidR="00E7028F" w:rsidRPr="00E7028F" w:rsidRDefault="00E7028F" w:rsidP="00E7028F">
      <w:pPr>
        <w:ind w:left="1276"/>
      </w:pPr>
      <w:r w:rsidRPr="00E7028F">
        <w:t>•</w:t>
      </w:r>
      <w:r w:rsidRPr="00E7028F">
        <w:tab/>
        <w:t>Minimum Site Area</w:t>
      </w:r>
    </w:p>
    <w:p w14:paraId="53D8BF82" w14:textId="77777777" w:rsidR="00E7028F" w:rsidRPr="00E7028F" w:rsidRDefault="00E7028F" w:rsidP="00E7028F">
      <w:pPr>
        <w:ind w:left="1276"/>
      </w:pPr>
      <w:r w:rsidRPr="00E7028F">
        <w:t>•</w:t>
      </w:r>
      <w:r w:rsidRPr="00E7028F">
        <w:tab/>
        <w:t>Minimum Primary Street Setback</w:t>
      </w:r>
    </w:p>
    <w:p w14:paraId="3D37C7A7" w14:textId="77777777" w:rsidR="00E7028F" w:rsidRPr="00E7028F" w:rsidRDefault="00E7028F" w:rsidP="00E7028F">
      <w:pPr>
        <w:ind w:left="1276"/>
      </w:pPr>
      <w:r w:rsidRPr="00E7028F">
        <w:t>•</w:t>
      </w:r>
      <w:r w:rsidRPr="00E7028F">
        <w:tab/>
        <w:t>Minimum Side Boundary Setback</w:t>
      </w:r>
    </w:p>
    <w:p w14:paraId="1FF31AF3" w14:textId="77777777" w:rsidR="00E7028F" w:rsidRPr="00E7028F" w:rsidRDefault="00E7028F" w:rsidP="00E7028F">
      <w:pPr>
        <w:ind w:left="1276"/>
      </w:pPr>
      <w:r w:rsidRPr="00E7028F">
        <w:t>•</w:t>
      </w:r>
      <w:r w:rsidRPr="00E7028F">
        <w:tab/>
        <w:t>Future Local Road Widening Setback</w:t>
      </w:r>
    </w:p>
    <w:p w14:paraId="4C5DA87B" w14:textId="77777777" w:rsidR="00E7028F" w:rsidRPr="00E7028F" w:rsidRDefault="00E7028F" w:rsidP="00E7028F">
      <w:pPr>
        <w:ind w:left="1276" w:hanging="284"/>
      </w:pPr>
      <w:r w:rsidRPr="00E7028F">
        <w:t>C.</w:t>
      </w:r>
      <w:r w:rsidRPr="00E7028F">
        <w:tab/>
        <w:t>Overlays</w:t>
      </w:r>
    </w:p>
    <w:p w14:paraId="4015461C" w14:textId="77777777" w:rsidR="00E7028F" w:rsidRPr="00E7028F" w:rsidRDefault="00E7028F" w:rsidP="00E7028F">
      <w:pPr>
        <w:ind w:left="1276"/>
      </w:pPr>
      <w:r w:rsidRPr="00E7028F">
        <w:t>•</w:t>
      </w:r>
      <w:r w:rsidRPr="00E7028F">
        <w:tab/>
        <w:t>Affordable Housing</w:t>
      </w:r>
    </w:p>
    <w:p w14:paraId="0B2F6855" w14:textId="77777777" w:rsidR="00E7028F" w:rsidRPr="00E7028F" w:rsidRDefault="00E7028F" w:rsidP="00E7028F">
      <w:pPr>
        <w:ind w:left="1276"/>
      </w:pPr>
      <w:r w:rsidRPr="00E7028F">
        <w:t>•</w:t>
      </w:r>
      <w:r w:rsidRPr="00E7028F">
        <w:tab/>
        <w:t>Character Preservation District</w:t>
      </w:r>
    </w:p>
    <w:p w14:paraId="34C23549" w14:textId="77777777" w:rsidR="00E7028F" w:rsidRPr="00E7028F" w:rsidRDefault="00E7028F" w:rsidP="00E7028F">
      <w:pPr>
        <w:ind w:left="1276"/>
      </w:pPr>
      <w:r w:rsidRPr="00E7028F">
        <w:t>•</w:t>
      </w:r>
      <w:r w:rsidRPr="00E7028F">
        <w:tab/>
        <w:t>Defence Aviation Area</w:t>
      </w:r>
    </w:p>
    <w:p w14:paraId="1982F209" w14:textId="77777777" w:rsidR="00E7028F" w:rsidRPr="00E7028F" w:rsidRDefault="00E7028F" w:rsidP="00E7028F">
      <w:pPr>
        <w:ind w:left="1276"/>
      </w:pPr>
      <w:r w:rsidRPr="00E7028F">
        <w:t>•</w:t>
      </w:r>
      <w:r w:rsidRPr="00E7028F">
        <w:tab/>
        <w:t>Dwelling Excision</w:t>
      </w:r>
    </w:p>
    <w:p w14:paraId="4F8C05CE" w14:textId="77777777" w:rsidR="00E7028F" w:rsidRPr="00E7028F" w:rsidRDefault="00E7028F" w:rsidP="00E7028F">
      <w:pPr>
        <w:ind w:left="1276"/>
      </w:pPr>
      <w:r w:rsidRPr="00E7028F">
        <w:t>•</w:t>
      </w:r>
      <w:r w:rsidRPr="00E7028F">
        <w:tab/>
        <w:t>Environment and Food Production Area</w:t>
      </w:r>
    </w:p>
    <w:p w14:paraId="49C79510" w14:textId="77777777" w:rsidR="00E7028F" w:rsidRPr="00E7028F" w:rsidRDefault="00E7028F" w:rsidP="00E7028F">
      <w:pPr>
        <w:ind w:left="1276"/>
      </w:pPr>
      <w:r w:rsidRPr="00E7028F">
        <w:t>•</w:t>
      </w:r>
      <w:r w:rsidRPr="00E7028F">
        <w:tab/>
        <w:t>Future Local Road Widening</w:t>
      </w:r>
    </w:p>
    <w:p w14:paraId="08AE6FDE" w14:textId="77777777" w:rsidR="00E7028F" w:rsidRPr="00E7028F" w:rsidRDefault="00E7028F" w:rsidP="00E7028F">
      <w:pPr>
        <w:ind w:left="1276"/>
      </w:pPr>
      <w:r w:rsidRPr="00E7028F">
        <w:t>•</w:t>
      </w:r>
      <w:r w:rsidRPr="00E7028F">
        <w:tab/>
        <w:t>Future Road Widening</w:t>
      </w:r>
    </w:p>
    <w:p w14:paraId="27063E17" w14:textId="77777777" w:rsidR="00E7028F" w:rsidRPr="00E7028F" w:rsidRDefault="00E7028F" w:rsidP="00E7028F">
      <w:pPr>
        <w:ind w:left="1276"/>
      </w:pPr>
      <w:r w:rsidRPr="00E7028F">
        <w:t>•</w:t>
      </w:r>
      <w:r w:rsidRPr="00E7028F">
        <w:tab/>
        <w:t>Hazards (Bushfire—High Risk)</w:t>
      </w:r>
    </w:p>
    <w:p w14:paraId="3588B2CD" w14:textId="77777777" w:rsidR="00E7028F" w:rsidRPr="00E7028F" w:rsidRDefault="00E7028F" w:rsidP="00E7028F">
      <w:pPr>
        <w:ind w:left="1276"/>
      </w:pPr>
      <w:r w:rsidRPr="00E7028F">
        <w:t>•</w:t>
      </w:r>
      <w:r w:rsidRPr="00E7028F">
        <w:tab/>
        <w:t>Hazards (Bushfire—Medium Risk)</w:t>
      </w:r>
    </w:p>
    <w:p w14:paraId="58403006" w14:textId="77777777" w:rsidR="00E7028F" w:rsidRPr="00E7028F" w:rsidRDefault="00E7028F" w:rsidP="00E7028F">
      <w:pPr>
        <w:ind w:left="1276"/>
      </w:pPr>
      <w:r w:rsidRPr="00E7028F">
        <w:t>•</w:t>
      </w:r>
      <w:r w:rsidRPr="00E7028F">
        <w:tab/>
        <w:t>Hazards (Bushfire—General Risk)</w:t>
      </w:r>
    </w:p>
    <w:p w14:paraId="317F2FF2" w14:textId="77777777" w:rsidR="00E7028F" w:rsidRPr="00E7028F" w:rsidRDefault="00E7028F" w:rsidP="00E7028F">
      <w:pPr>
        <w:ind w:left="1276"/>
      </w:pPr>
      <w:r w:rsidRPr="00E7028F">
        <w:t>•</w:t>
      </w:r>
      <w:r w:rsidRPr="00E7028F">
        <w:tab/>
        <w:t>Hazards (Bushfire—Urban Interface)</w:t>
      </w:r>
    </w:p>
    <w:p w14:paraId="775F219D" w14:textId="77777777" w:rsidR="00E7028F" w:rsidRPr="00E7028F" w:rsidRDefault="00E7028F" w:rsidP="00E7028F">
      <w:pPr>
        <w:ind w:left="1276"/>
      </w:pPr>
      <w:r w:rsidRPr="00E7028F">
        <w:t>•</w:t>
      </w:r>
      <w:r w:rsidRPr="00E7028F">
        <w:tab/>
        <w:t>Hazards (Bushfire—Regional)</w:t>
      </w:r>
    </w:p>
    <w:p w14:paraId="179987E9" w14:textId="77777777" w:rsidR="00E7028F" w:rsidRPr="00E7028F" w:rsidRDefault="00E7028F" w:rsidP="00E7028F">
      <w:pPr>
        <w:ind w:left="1276"/>
      </w:pPr>
      <w:r w:rsidRPr="00E7028F">
        <w:t>•</w:t>
      </w:r>
      <w:r w:rsidRPr="00E7028F">
        <w:tab/>
        <w:t>Hazards (Bushfire—Outback)</w:t>
      </w:r>
    </w:p>
    <w:p w14:paraId="77FFC37E" w14:textId="77777777" w:rsidR="00E7028F" w:rsidRPr="00E7028F" w:rsidRDefault="00E7028F" w:rsidP="00E7028F">
      <w:pPr>
        <w:ind w:left="1276"/>
      </w:pPr>
      <w:r w:rsidRPr="00E7028F">
        <w:t>•</w:t>
      </w:r>
      <w:r w:rsidRPr="00E7028F">
        <w:tab/>
        <w:t>Heritage Adjacency</w:t>
      </w:r>
    </w:p>
    <w:p w14:paraId="29FBAE6A" w14:textId="77777777" w:rsidR="00E7028F" w:rsidRPr="00E7028F" w:rsidRDefault="00E7028F" w:rsidP="00E7028F">
      <w:pPr>
        <w:ind w:left="1276"/>
      </w:pPr>
      <w:r w:rsidRPr="00E7028F">
        <w:t>•</w:t>
      </w:r>
      <w:r w:rsidRPr="00E7028F">
        <w:tab/>
        <w:t>Local Heritage Place</w:t>
      </w:r>
    </w:p>
    <w:p w14:paraId="375ED2E1" w14:textId="77777777" w:rsidR="00E7028F" w:rsidRPr="00E7028F" w:rsidRDefault="00E7028F" w:rsidP="00E7028F">
      <w:pPr>
        <w:ind w:left="1276"/>
      </w:pPr>
      <w:r w:rsidRPr="00E7028F">
        <w:t>•</w:t>
      </w:r>
      <w:r w:rsidRPr="00E7028F">
        <w:tab/>
        <w:t>Regulated and Significant Tree</w:t>
      </w:r>
    </w:p>
    <w:p w14:paraId="4BCCC852" w14:textId="77777777" w:rsidR="00E7028F" w:rsidRPr="00E7028F" w:rsidRDefault="00E7028F" w:rsidP="00E7028F">
      <w:pPr>
        <w:ind w:left="1276"/>
      </w:pPr>
      <w:r w:rsidRPr="00E7028F">
        <w:t>•</w:t>
      </w:r>
      <w:r w:rsidRPr="00E7028F">
        <w:tab/>
        <w:t>Noise and Air Emissions</w:t>
      </w:r>
    </w:p>
    <w:p w14:paraId="0A2DCFAE" w14:textId="77777777" w:rsidR="00E7028F" w:rsidRPr="00E7028F" w:rsidRDefault="00E7028F" w:rsidP="00E7028F">
      <w:pPr>
        <w:ind w:left="1276"/>
      </w:pPr>
      <w:r w:rsidRPr="00E7028F">
        <w:t>•</w:t>
      </w:r>
      <w:r w:rsidRPr="00E7028F">
        <w:tab/>
        <w:t>State Heritage Place</w:t>
      </w:r>
    </w:p>
    <w:p w14:paraId="1A84EA2E" w14:textId="77777777" w:rsidR="00E7028F" w:rsidRPr="00E7028F" w:rsidRDefault="00E7028F" w:rsidP="00E7028F">
      <w:pPr>
        <w:ind w:left="1276"/>
      </w:pPr>
      <w:r w:rsidRPr="00E7028F">
        <w:t>•</w:t>
      </w:r>
      <w:r w:rsidRPr="00E7028F">
        <w:tab/>
        <w:t>Stormwater Management</w:t>
      </w:r>
    </w:p>
    <w:p w14:paraId="7818A160" w14:textId="77777777" w:rsidR="00E7028F" w:rsidRPr="00E7028F" w:rsidRDefault="00E7028F" w:rsidP="00E7028F">
      <w:pPr>
        <w:ind w:left="1276"/>
      </w:pPr>
      <w:r w:rsidRPr="00E7028F">
        <w:t>•</w:t>
      </w:r>
      <w:r w:rsidRPr="00E7028F">
        <w:tab/>
        <w:t>Urban Tree Canopy</w:t>
      </w:r>
    </w:p>
    <w:p w14:paraId="63F3E8B1" w14:textId="77777777" w:rsidR="00E7028F" w:rsidRPr="00E7028F" w:rsidRDefault="00E7028F" w:rsidP="00E7028F">
      <w:pPr>
        <w:ind w:left="567" w:hanging="284"/>
      </w:pPr>
      <w:r w:rsidRPr="00E7028F">
        <w:t>(b)</w:t>
      </w:r>
      <w:r w:rsidRPr="00E7028F">
        <w:tab/>
        <w:t xml:space="preserve">Amending the Community Facilities Zone </w:t>
      </w:r>
      <w:proofErr w:type="gramStart"/>
      <w:r w:rsidRPr="00E7028F">
        <w:t>in the area of</w:t>
      </w:r>
      <w:proofErr w:type="gramEnd"/>
      <w:r w:rsidRPr="00E7028F">
        <w:t xml:space="preserve"> the Adelaide Hills Council by reinstating the Community Facilities Zone boundaries that existed in Planning and Design Code Version Number 2024.19.</w:t>
      </w:r>
    </w:p>
    <w:p w14:paraId="1F32C238" w14:textId="77777777" w:rsidR="00E7028F" w:rsidRPr="00E7028F" w:rsidRDefault="00E7028F" w:rsidP="00E7028F">
      <w:pPr>
        <w:ind w:left="567" w:hanging="284"/>
      </w:pPr>
      <w:r w:rsidRPr="00E7028F">
        <w:t>(c)</w:t>
      </w:r>
      <w:r w:rsidRPr="00E7028F">
        <w:tab/>
        <w:t xml:space="preserve">Amending the Rural Neighbourhood Zone </w:t>
      </w:r>
      <w:proofErr w:type="gramStart"/>
      <w:r w:rsidRPr="00E7028F">
        <w:t>in the area of</w:t>
      </w:r>
      <w:proofErr w:type="gramEnd"/>
      <w:r w:rsidRPr="00E7028F">
        <w:t xml:space="preserve"> the Adelaide Hills Council by reinstating the Rural Neighbourhood Zone boundaries that existed in Planning and Design Code Version Number 2024.19.</w:t>
      </w:r>
    </w:p>
    <w:p w14:paraId="795191BE" w14:textId="77777777" w:rsidR="00E7028F" w:rsidRPr="00E7028F" w:rsidRDefault="00E7028F" w:rsidP="00E7028F">
      <w:pPr>
        <w:ind w:left="567" w:hanging="284"/>
      </w:pPr>
      <w:r w:rsidRPr="00E7028F">
        <w:t>(d)</w:t>
      </w:r>
      <w:r w:rsidRPr="00E7028F">
        <w:tab/>
        <w:t xml:space="preserve">Amending the Adelaide Hills Subzone </w:t>
      </w:r>
      <w:proofErr w:type="gramStart"/>
      <w:r w:rsidRPr="00E7028F">
        <w:t>in the area of</w:t>
      </w:r>
      <w:proofErr w:type="gramEnd"/>
      <w:r w:rsidRPr="00E7028F">
        <w:t xml:space="preserve"> the Adelaide Hills Council by reinstating the Adelaide Hills Subzone boundaries that existed in Planning and Design Code Version Number 2024.19.</w:t>
      </w:r>
    </w:p>
    <w:p w14:paraId="49511717" w14:textId="77777777" w:rsidR="00E7028F" w:rsidRPr="00E7028F" w:rsidRDefault="00E7028F" w:rsidP="00E7028F">
      <w:pPr>
        <w:ind w:left="567" w:hanging="284"/>
      </w:pPr>
      <w:r w:rsidRPr="00E7028F">
        <w:t>(e)</w:t>
      </w:r>
      <w:r w:rsidRPr="00E7028F">
        <w:tab/>
        <w:t>In Part 13 of the Code—Table of Amendments, update the publication date, Code version number, amendment type and summary of amendments within the ‘Table of Planning and Design Code Amendments’ to reflect the amendments to the Code as described in this Notice.</w:t>
      </w:r>
    </w:p>
    <w:p w14:paraId="46EFAAF1" w14:textId="77777777" w:rsidR="00E7028F" w:rsidRPr="00E7028F" w:rsidRDefault="00E7028F" w:rsidP="00E7028F">
      <w:pPr>
        <w:ind w:left="284" w:hanging="284"/>
      </w:pPr>
      <w:r w:rsidRPr="00E7028F">
        <w:t>2.</w:t>
      </w:r>
      <w:r w:rsidRPr="00E7028F">
        <w:tab/>
        <w:t>Pursuant to Section 76(5)(a) of the Act, I further specify that the amendments to the Code as described in this Notice will take effect upon the date those amendments are published on the SA planning portal.</w:t>
      </w:r>
    </w:p>
    <w:p w14:paraId="737DB45E" w14:textId="77777777" w:rsidR="00E7028F" w:rsidRPr="00E7028F" w:rsidRDefault="00E7028F" w:rsidP="00E7028F">
      <w:r w:rsidRPr="00E7028F">
        <w:t>Dated: 26 February 2025</w:t>
      </w:r>
    </w:p>
    <w:p w14:paraId="387D6BAA" w14:textId="77777777" w:rsidR="00E7028F" w:rsidRPr="00E7028F" w:rsidRDefault="00E7028F" w:rsidP="00E7028F">
      <w:pPr>
        <w:spacing w:after="0"/>
        <w:jc w:val="right"/>
        <w:rPr>
          <w:rFonts w:eastAsia="Times New Roman"/>
          <w:smallCaps/>
          <w:szCs w:val="20"/>
        </w:rPr>
      </w:pPr>
      <w:r w:rsidRPr="00E7028F">
        <w:rPr>
          <w:rFonts w:eastAsia="Times New Roman"/>
          <w:smallCaps/>
          <w:szCs w:val="20"/>
        </w:rPr>
        <w:t xml:space="preserve">Greg Van </w:t>
      </w:r>
      <w:proofErr w:type="spellStart"/>
      <w:r w:rsidRPr="00E7028F">
        <w:rPr>
          <w:rFonts w:eastAsia="Times New Roman"/>
          <w:smallCaps/>
          <w:szCs w:val="20"/>
        </w:rPr>
        <w:t>Gaans</w:t>
      </w:r>
      <w:proofErr w:type="spellEnd"/>
    </w:p>
    <w:p w14:paraId="3E9839CA" w14:textId="77777777" w:rsidR="00E7028F" w:rsidRPr="00E7028F" w:rsidRDefault="00E7028F" w:rsidP="00E7028F">
      <w:pPr>
        <w:spacing w:after="0"/>
        <w:jc w:val="right"/>
        <w:rPr>
          <w:rFonts w:eastAsia="Times New Roman"/>
          <w:szCs w:val="17"/>
        </w:rPr>
      </w:pPr>
      <w:r w:rsidRPr="00E7028F">
        <w:rPr>
          <w:rFonts w:eastAsia="Times New Roman"/>
          <w:szCs w:val="17"/>
        </w:rPr>
        <w:t>Director, Geospatial, Data Science and Analytics</w:t>
      </w:r>
    </w:p>
    <w:p w14:paraId="70EDDCD6" w14:textId="77777777" w:rsidR="00E7028F" w:rsidRPr="00E7028F" w:rsidRDefault="00E7028F" w:rsidP="00E7028F">
      <w:pPr>
        <w:spacing w:after="0"/>
        <w:jc w:val="right"/>
        <w:rPr>
          <w:rFonts w:eastAsia="Times New Roman"/>
          <w:szCs w:val="17"/>
        </w:rPr>
      </w:pPr>
      <w:r w:rsidRPr="00E7028F">
        <w:rPr>
          <w:rFonts w:eastAsia="Times New Roman"/>
          <w:szCs w:val="17"/>
        </w:rPr>
        <w:t>Department for Housing and Urban Development</w:t>
      </w:r>
    </w:p>
    <w:p w14:paraId="703DF181" w14:textId="77777777" w:rsidR="00E7028F" w:rsidRDefault="00E7028F" w:rsidP="00E7028F">
      <w:pPr>
        <w:spacing w:after="0"/>
        <w:jc w:val="right"/>
        <w:rPr>
          <w:rFonts w:eastAsia="Times New Roman"/>
          <w:szCs w:val="17"/>
        </w:rPr>
      </w:pPr>
      <w:r w:rsidRPr="00E7028F">
        <w:rPr>
          <w:rFonts w:eastAsia="Times New Roman"/>
          <w:szCs w:val="17"/>
        </w:rPr>
        <w:t>Delegate of the Minister for Planning</w:t>
      </w:r>
    </w:p>
    <w:p w14:paraId="1F832092" w14:textId="77777777" w:rsidR="00E7028F" w:rsidRDefault="00E7028F" w:rsidP="00E7028F">
      <w:pPr>
        <w:pBdr>
          <w:top w:val="single" w:sz="4" w:space="1" w:color="auto"/>
        </w:pBdr>
        <w:spacing w:before="100" w:after="0" w:line="14" w:lineRule="exact"/>
        <w:jc w:val="center"/>
        <w:rPr>
          <w:rFonts w:eastAsia="Times New Roman"/>
          <w:szCs w:val="17"/>
        </w:rPr>
      </w:pPr>
    </w:p>
    <w:p w14:paraId="05A3F8F9" w14:textId="25DA59DB" w:rsidR="00BB5B94" w:rsidRDefault="00BB5B94">
      <w:pPr>
        <w:spacing w:after="0" w:line="240" w:lineRule="auto"/>
        <w:jc w:val="left"/>
      </w:pPr>
      <w:r>
        <w:br w:type="page"/>
      </w:r>
    </w:p>
    <w:p w14:paraId="0CF9E128" w14:textId="77777777" w:rsidR="00E7028F" w:rsidRDefault="00E7028F" w:rsidP="00E7028F">
      <w:pPr>
        <w:pStyle w:val="GG-Title1"/>
      </w:pPr>
      <w:r>
        <w:lastRenderedPageBreak/>
        <w:t>Planning, Development and Infrastructure Act 2016</w:t>
      </w:r>
    </w:p>
    <w:p w14:paraId="693F8017" w14:textId="77777777" w:rsidR="00E7028F" w:rsidRDefault="00E7028F" w:rsidP="00E7028F">
      <w:pPr>
        <w:pStyle w:val="GG-Title2"/>
      </w:pPr>
      <w:r>
        <w:t>Section 76</w:t>
      </w:r>
    </w:p>
    <w:p w14:paraId="4421D3EA" w14:textId="77777777" w:rsidR="00E7028F" w:rsidRDefault="00E7028F" w:rsidP="00E7028F">
      <w:pPr>
        <w:pStyle w:val="GG-Title3"/>
      </w:pPr>
      <w:r>
        <w:t>Amendment to the Planning and Design Code</w:t>
      </w:r>
    </w:p>
    <w:p w14:paraId="60CB7E83" w14:textId="77777777" w:rsidR="00E7028F" w:rsidRPr="00E83A65" w:rsidRDefault="00E7028F" w:rsidP="00E7028F">
      <w:pPr>
        <w:pStyle w:val="GG-body"/>
        <w:rPr>
          <w:i/>
          <w:iCs/>
        </w:rPr>
      </w:pPr>
      <w:r w:rsidRPr="00E83A65">
        <w:rPr>
          <w:i/>
          <w:iCs/>
        </w:rPr>
        <w:t>Preamble</w:t>
      </w:r>
    </w:p>
    <w:p w14:paraId="79C164DE" w14:textId="77777777" w:rsidR="00E7028F" w:rsidRDefault="00E7028F" w:rsidP="00E7028F">
      <w:pPr>
        <w:pStyle w:val="GG-body"/>
      </w:pPr>
      <w:r>
        <w:t xml:space="preserve">It is necessary to amend the Planning and Design Code (the Code) in operation at 13 February 2025 (Version 2025.3) </w:t>
      </w:r>
      <w:proofErr w:type="gramStart"/>
      <w:r>
        <w:t>in order to</w:t>
      </w:r>
      <w:proofErr w:type="gramEnd"/>
      <w:r>
        <w:t xml:space="preserve"> make the following minor or operational amendments:</w:t>
      </w:r>
    </w:p>
    <w:p w14:paraId="0B478D77" w14:textId="77777777" w:rsidR="00E7028F" w:rsidRDefault="00E7028F" w:rsidP="00E7028F">
      <w:pPr>
        <w:pStyle w:val="GG-body"/>
        <w:ind w:left="284" w:hanging="142"/>
      </w:pPr>
      <w:r>
        <w:t>•</w:t>
      </w:r>
      <w:r>
        <w:tab/>
        <w:t>to correct errors relating to the misapplication of the Local Heritage Place Overlay over adjacent parcels for a property in Adelaide;</w:t>
      </w:r>
    </w:p>
    <w:p w14:paraId="530AC899" w14:textId="77777777" w:rsidR="00E7028F" w:rsidRDefault="00E7028F" w:rsidP="00E7028F">
      <w:pPr>
        <w:pStyle w:val="GG-body"/>
        <w:ind w:left="284" w:hanging="142"/>
      </w:pPr>
      <w:r>
        <w:t>•</w:t>
      </w:r>
      <w:r>
        <w:tab/>
        <w:t>to remove irrelevant material in relation to the application of the Local Heritage Place for a property at Norwood;</w:t>
      </w:r>
    </w:p>
    <w:p w14:paraId="5FBE8287" w14:textId="77777777" w:rsidR="00E7028F" w:rsidRDefault="00E7028F" w:rsidP="00E7028F">
      <w:pPr>
        <w:pStyle w:val="GG-body"/>
        <w:ind w:left="284" w:hanging="142"/>
      </w:pPr>
      <w:r>
        <w:t>•</w:t>
      </w:r>
      <w:r>
        <w:tab/>
        <w:t>application of the State Heritage Place Overlay to several ‘provisionally listed’ properties in American River, Mount Light, St. Peters, Adelaide, Wayville, Elizabeth South and Elizabeth Grove.</w:t>
      </w:r>
    </w:p>
    <w:p w14:paraId="2AA252EE" w14:textId="77777777" w:rsidR="00E7028F" w:rsidRDefault="00E7028F" w:rsidP="00E7028F">
      <w:pPr>
        <w:pStyle w:val="GG-body"/>
        <w:ind w:left="284" w:hanging="284"/>
      </w:pPr>
      <w:r>
        <w:t>1.</w:t>
      </w:r>
      <w:r>
        <w:tab/>
        <w:t xml:space="preserve">Pursuant to Section 76 of the </w:t>
      </w:r>
      <w:r w:rsidRPr="00E83A65">
        <w:rPr>
          <w:i/>
          <w:iCs/>
        </w:rPr>
        <w:t>Planning, Development and Infrastructure Act 2016</w:t>
      </w:r>
      <w:r>
        <w:t xml:space="preserve"> (the Act), I hereby amend the Code </w:t>
      </w:r>
      <w:proofErr w:type="gramStart"/>
      <w:r>
        <w:t>in order to</w:t>
      </w:r>
      <w:proofErr w:type="gramEnd"/>
      <w:r>
        <w:t xml:space="preserve"> make the following minor or operational amendments as follows:</w:t>
      </w:r>
    </w:p>
    <w:p w14:paraId="30543ECB" w14:textId="77777777" w:rsidR="00E7028F" w:rsidRDefault="00E7028F" w:rsidP="00E7028F">
      <w:pPr>
        <w:pStyle w:val="GG-body"/>
        <w:ind w:left="567" w:hanging="283"/>
      </w:pPr>
      <w:r>
        <w:t>(a)</w:t>
      </w:r>
      <w:r>
        <w:tab/>
        <w:t>Amend the spatial layer of the Local Heritage Place Overlay so that it does not apply to the following allotments and update the spatial layer of the Heritage Adjacency Overlay to reflect this change:</w:t>
      </w:r>
    </w:p>
    <w:p w14:paraId="2AF9AC6B" w14:textId="77777777" w:rsidR="00E7028F" w:rsidRDefault="00E7028F" w:rsidP="00E7028F">
      <w:pPr>
        <w:pStyle w:val="GG-body"/>
        <w:ind w:left="993" w:hanging="426"/>
      </w:pPr>
      <w:r>
        <w:t>(</w:t>
      </w:r>
      <w:proofErr w:type="spellStart"/>
      <w:r>
        <w:t>i</w:t>
      </w:r>
      <w:proofErr w:type="spellEnd"/>
      <w:r>
        <w:t>)</w:t>
      </w:r>
      <w:r>
        <w:tab/>
        <w:t>21-25 Russell Street, Adelaide</w:t>
      </w:r>
    </w:p>
    <w:p w14:paraId="475840F7" w14:textId="77777777" w:rsidR="00E7028F" w:rsidRDefault="00E7028F" w:rsidP="00E7028F">
      <w:pPr>
        <w:pStyle w:val="GG-body"/>
        <w:ind w:left="993" w:hanging="426"/>
      </w:pPr>
      <w:r>
        <w:t>(ii)</w:t>
      </w:r>
      <w:r>
        <w:tab/>
        <w:t>9-13 Russell Street, Adelaide</w:t>
      </w:r>
    </w:p>
    <w:p w14:paraId="1FC11122" w14:textId="77777777" w:rsidR="00E7028F" w:rsidRDefault="00E7028F" w:rsidP="00E7028F">
      <w:pPr>
        <w:pStyle w:val="GG-body"/>
        <w:ind w:left="567" w:hanging="283"/>
      </w:pPr>
      <w:r>
        <w:t>(b)</w:t>
      </w:r>
      <w:r>
        <w:tab/>
        <w:t xml:space="preserve">Amend the spatial layer of the Local Heritage Place Overlay so that the Heritage Numbers 1123 and 1125 do not apply to </w:t>
      </w:r>
      <w:r>
        <w:br/>
        <w:t>17 Russell Street Adelaide.</w:t>
      </w:r>
    </w:p>
    <w:p w14:paraId="4CBB112E" w14:textId="77777777" w:rsidR="00E7028F" w:rsidRDefault="00E7028F" w:rsidP="00E7028F">
      <w:pPr>
        <w:pStyle w:val="GG-body"/>
        <w:ind w:left="567" w:hanging="283"/>
      </w:pPr>
      <w:r>
        <w:t>(c)</w:t>
      </w:r>
      <w:r>
        <w:tab/>
      </w:r>
      <w:r w:rsidRPr="009024C6">
        <w:rPr>
          <w:spacing w:val="-2"/>
        </w:rPr>
        <w:t>Amend the spatial layer of the Local Heritage Place Overlay as it relates to Local Heritage Place, ‘Bridge &amp; Parapet’ at 3a-3b Alfred Street,</w:t>
      </w:r>
      <w:r>
        <w:t xml:space="preserve"> Norwood (Heritage Number 5609) so that it only applies to land marked in ‘blue’ in the map contained in Attachment A and update the spatial layer of the Heritage Adjacency Overlay to reflect this change.</w:t>
      </w:r>
    </w:p>
    <w:p w14:paraId="3F8EE4A8" w14:textId="77777777" w:rsidR="00E7028F" w:rsidRPr="008653F2" w:rsidRDefault="00E7028F" w:rsidP="00E7028F">
      <w:pPr>
        <w:pStyle w:val="GG-body"/>
        <w:ind w:left="567" w:hanging="283"/>
        <w:rPr>
          <w:spacing w:val="-4"/>
        </w:rPr>
      </w:pPr>
      <w:r>
        <w:t>(d)</w:t>
      </w:r>
      <w:r>
        <w:tab/>
      </w:r>
      <w:r w:rsidRPr="008653F2">
        <w:rPr>
          <w:spacing w:val="-2"/>
        </w:rPr>
        <w:t xml:space="preserve">In Part 11 of the Code, under ‘Local Heritage Places’ within the section applicable to ‘Norwood, Payneham and St Peters’, amend the </w:t>
      </w:r>
      <w:r w:rsidRPr="008653F2">
        <w:rPr>
          <w:spacing w:val="-4"/>
        </w:rPr>
        <w:t>Table of Local Heritage Places by replacing property address ‘3a-3b Alfred Street</w:t>
      </w:r>
      <w:r>
        <w:rPr>
          <w:spacing w:val="-4"/>
        </w:rPr>
        <w:t>,</w:t>
      </w:r>
      <w:r w:rsidRPr="008653F2">
        <w:rPr>
          <w:spacing w:val="-4"/>
        </w:rPr>
        <w:t xml:space="preserve"> NORWOOD’ with ‘3-3a Alfred Street NORWOOD’.</w:t>
      </w:r>
    </w:p>
    <w:p w14:paraId="67E6DDCA" w14:textId="77777777" w:rsidR="00E7028F" w:rsidRDefault="00E7028F" w:rsidP="00E7028F">
      <w:pPr>
        <w:pStyle w:val="GG-body"/>
        <w:ind w:left="567" w:hanging="283"/>
      </w:pPr>
      <w:r>
        <w:t>(e)</w:t>
      </w:r>
      <w:r>
        <w:tab/>
        <w:t>Amend the spatial layer of the State Heritage Place Overlay so that it applies to the following properties and update the spatial layer of the Heritage Adjacency Overlay to reflect these changes:</w:t>
      </w:r>
    </w:p>
    <w:p w14:paraId="1ED789A4" w14:textId="77777777" w:rsidR="00E7028F" w:rsidRDefault="00E7028F" w:rsidP="00E7028F">
      <w:pPr>
        <w:pStyle w:val="GG-body"/>
        <w:ind w:left="993" w:hanging="426"/>
      </w:pPr>
      <w:r>
        <w:t>(</w:t>
      </w:r>
      <w:proofErr w:type="spellStart"/>
      <w:r>
        <w:t>i</w:t>
      </w:r>
      <w:proofErr w:type="spellEnd"/>
      <w:r>
        <w:t>)</w:t>
      </w:r>
      <w:r>
        <w:tab/>
        <w:t>Former American River Methodist Church, 24 Ryberg Road, AMERICAN RIVER (Heritage Number 28471)</w:t>
      </w:r>
    </w:p>
    <w:p w14:paraId="4DC82AB3" w14:textId="77777777" w:rsidR="00E7028F" w:rsidRDefault="00E7028F" w:rsidP="00E7028F">
      <w:pPr>
        <w:pStyle w:val="GG-body"/>
        <w:ind w:left="993" w:hanging="426"/>
      </w:pPr>
      <w:r>
        <w:t>(ii)</w:t>
      </w:r>
      <w:r>
        <w:tab/>
      </w:r>
      <w:r w:rsidRPr="00BF0B9C">
        <w:t>Munro Karst (Designated as a place of speleological significance); Munro Quarry Caves, 407 Hynam Caves Road, MOUNT</w:t>
      </w:r>
      <w:r>
        <w:t> </w:t>
      </w:r>
      <w:r w:rsidRPr="00BF0B9C">
        <w:t>LIGHT (Heritage Number 28465)</w:t>
      </w:r>
    </w:p>
    <w:p w14:paraId="131AF1DE" w14:textId="77777777" w:rsidR="00E7028F" w:rsidRDefault="00E7028F" w:rsidP="00E7028F">
      <w:pPr>
        <w:pStyle w:val="GG-body"/>
        <w:ind w:left="993" w:hanging="426"/>
      </w:pPr>
      <w:r>
        <w:t>(iii)</w:t>
      </w:r>
      <w:r>
        <w:tab/>
        <w:t>All Souls’ Anglican Church, Kaurna Country, Lot 910 Stephen Terrace, ST PETERS (Heritage Number 28467)</w:t>
      </w:r>
    </w:p>
    <w:p w14:paraId="0BBD8727" w14:textId="77777777" w:rsidR="00E7028F" w:rsidRDefault="00E7028F" w:rsidP="00E7028F">
      <w:pPr>
        <w:pStyle w:val="GG-body"/>
        <w:ind w:left="993" w:hanging="426"/>
      </w:pPr>
      <w:r>
        <w:t>(iv)</w:t>
      </w:r>
      <w:r>
        <w:tab/>
        <w:t>Epworth Building—Kaurna Country, 33-33B Pirie Street, ADELAIDE (Heritage Number 28466)</w:t>
      </w:r>
    </w:p>
    <w:p w14:paraId="00F68ACF" w14:textId="77777777" w:rsidR="00E7028F" w:rsidRDefault="00E7028F" w:rsidP="00E7028F">
      <w:pPr>
        <w:pStyle w:val="GG-body"/>
        <w:ind w:left="993" w:hanging="426"/>
      </w:pPr>
      <w:r>
        <w:t>(v)</w:t>
      </w:r>
      <w:r>
        <w:tab/>
        <w:t>Christ Church Uniting Church—Kaurna Country, 26 King William Road, WAYVILLE (Heritage Number 28474)</w:t>
      </w:r>
    </w:p>
    <w:p w14:paraId="0D37DE0D" w14:textId="77777777" w:rsidR="00E7028F" w:rsidRDefault="00E7028F" w:rsidP="00E7028F">
      <w:pPr>
        <w:pStyle w:val="GG-body"/>
        <w:ind w:left="993" w:hanging="426"/>
      </w:pPr>
      <w:r>
        <w:t>(vi)</w:t>
      </w:r>
      <w:r>
        <w:tab/>
      </w:r>
      <w:r w:rsidRPr="003B0B48">
        <w:rPr>
          <w:spacing w:val="-2"/>
        </w:rPr>
        <w:t>Former Jean Flynn Presbyterian Church (now Adelaide Presbyterian Church Elizabeth), Kaurna Country, 106 Goodman Road,</w:t>
      </w:r>
      <w:r>
        <w:t xml:space="preserve"> ELIZABETH SOUTH (Heritage Number 28473)</w:t>
      </w:r>
    </w:p>
    <w:p w14:paraId="334E4AB4" w14:textId="77777777" w:rsidR="00E7028F" w:rsidRDefault="00E7028F" w:rsidP="00E7028F">
      <w:pPr>
        <w:pStyle w:val="GG-body"/>
        <w:ind w:left="993" w:hanging="426"/>
      </w:pPr>
      <w:r>
        <w:t>(vii)</w:t>
      </w:r>
      <w:r>
        <w:tab/>
        <w:t>Former Elizabeth South Methodist Church (now Elizabeth Grove Uniting Church), Kaurna Country, 114 Harvey Road, ELIZABETH GROVE (Heritage Number 28472)</w:t>
      </w:r>
    </w:p>
    <w:p w14:paraId="5D94A049" w14:textId="77777777" w:rsidR="00E7028F" w:rsidRDefault="00E7028F" w:rsidP="00E7028F">
      <w:pPr>
        <w:pStyle w:val="GG-body"/>
        <w:ind w:left="993" w:hanging="426"/>
      </w:pPr>
      <w:r>
        <w:t>(viii)</w:t>
      </w:r>
      <w:r>
        <w:tab/>
        <w:t>Malcolm Reid’s Emporium, Kaurna Country, 187-195 Rundle Street ADELAIDE (Heritage Number 28475)</w:t>
      </w:r>
    </w:p>
    <w:p w14:paraId="29D5FE41" w14:textId="77777777" w:rsidR="00E7028F" w:rsidRPr="00AB0757" w:rsidRDefault="00E7028F" w:rsidP="00E7028F">
      <w:pPr>
        <w:pStyle w:val="GG-body"/>
        <w:ind w:left="567" w:hanging="283"/>
        <w:rPr>
          <w:spacing w:val="-4"/>
        </w:rPr>
      </w:pPr>
      <w:r>
        <w:t>(f)</w:t>
      </w:r>
      <w:r>
        <w:tab/>
      </w:r>
      <w:r w:rsidRPr="00AB0757">
        <w:rPr>
          <w:spacing w:val="-2"/>
        </w:rPr>
        <w:t>In Part 11 of the Code, under ‘State Heritage Places’ within the section applicable to ‘Kangaroo Island’, insert the following row in</w:t>
      </w:r>
      <w:r>
        <w:t xml:space="preserve"> </w:t>
      </w:r>
      <w:r w:rsidRPr="00AB0757">
        <w:rPr>
          <w:spacing w:val="-4"/>
        </w:rPr>
        <w:t>the table of State Heritage Places immediately after the row applying to ‘Point Morrison BALLAST HEAD VIA AMERICAN RIVER’:</w:t>
      </w:r>
    </w:p>
    <w:tbl>
      <w:tblPr>
        <w:tblStyle w:val="TableGrid"/>
        <w:tblW w:w="0" w:type="auto"/>
        <w:tblInd w:w="562" w:type="dxa"/>
        <w:tblLook w:val="04A0" w:firstRow="1" w:lastRow="0" w:firstColumn="1" w:lastColumn="0" w:noHBand="0" w:noVBand="1"/>
      </w:tblPr>
      <w:tblGrid>
        <w:gridCol w:w="2196"/>
        <w:gridCol w:w="2196"/>
        <w:gridCol w:w="2195"/>
        <w:gridCol w:w="2195"/>
      </w:tblGrid>
      <w:tr w:rsidR="00E7028F" w:rsidRPr="003A0473" w14:paraId="70684B85" w14:textId="77777777" w:rsidTr="000E227A">
        <w:tc>
          <w:tcPr>
            <w:tcW w:w="2197" w:type="dxa"/>
            <w:tcBorders>
              <w:bottom w:val="single" w:sz="4" w:space="0" w:color="auto"/>
            </w:tcBorders>
          </w:tcPr>
          <w:p w14:paraId="1187CACC"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left"/>
            </w:pPr>
            <w:r w:rsidRPr="003A0473">
              <w:t>24 Ryberg Road</w:t>
            </w:r>
            <w:r>
              <w:t>,</w:t>
            </w:r>
            <w:r w:rsidRPr="003A0473">
              <w:t xml:space="preserve"> AMERICAN RIVER</w:t>
            </w:r>
          </w:p>
        </w:tc>
        <w:tc>
          <w:tcPr>
            <w:tcW w:w="2197" w:type="dxa"/>
            <w:tcBorders>
              <w:bottom w:val="single" w:sz="4" w:space="0" w:color="auto"/>
            </w:tcBorders>
          </w:tcPr>
          <w:p w14:paraId="217BBD04"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left"/>
            </w:pPr>
            <w:r w:rsidRPr="003A0473">
              <w:t>Former American River Methodist Church</w:t>
            </w:r>
          </w:p>
        </w:tc>
        <w:tc>
          <w:tcPr>
            <w:tcW w:w="2197" w:type="dxa"/>
            <w:tcBorders>
              <w:bottom w:val="single" w:sz="4" w:space="0" w:color="auto"/>
            </w:tcBorders>
          </w:tcPr>
          <w:p w14:paraId="230F122E"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center"/>
            </w:pPr>
            <w:r w:rsidRPr="003A0473">
              <w:t>E</w:t>
            </w:r>
          </w:p>
        </w:tc>
        <w:tc>
          <w:tcPr>
            <w:tcW w:w="2197" w:type="dxa"/>
            <w:tcBorders>
              <w:bottom w:val="single" w:sz="4" w:space="0" w:color="auto"/>
            </w:tcBorders>
          </w:tcPr>
          <w:p w14:paraId="14392C61"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center"/>
            </w:pPr>
            <w:r w:rsidRPr="003A0473">
              <w:t>28471</w:t>
            </w:r>
          </w:p>
        </w:tc>
      </w:tr>
      <w:tr w:rsidR="00E7028F" w:rsidRPr="003A0473" w14:paraId="68B72E08" w14:textId="77777777" w:rsidTr="000E227A">
        <w:tc>
          <w:tcPr>
            <w:tcW w:w="2197" w:type="dxa"/>
            <w:tcBorders>
              <w:top w:val="single" w:sz="4" w:space="0" w:color="auto"/>
              <w:left w:val="nil"/>
              <w:bottom w:val="nil"/>
              <w:right w:val="nil"/>
            </w:tcBorders>
          </w:tcPr>
          <w:p w14:paraId="6C2615B0"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left"/>
            </w:pPr>
          </w:p>
        </w:tc>
        <w:tc>
          <w:tcPr>
            <w:tcW w:w="2197" w:type="dxa"/>
            <w:tcBorders>
              <w:top w:val="single" w:sz="4" w:space="0" w:color="auto"/>
              <w:left w:val="nil"/>
              <w:bottom w:val="nil"/>
              <w:right w:val="nil"/>
            </w:tcBorders>
          </w:tcPr>
          <w:p w14:paraId="0C1B0231"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left"/>
            </w:pPr>
          </w:p>
        </w:tc>
        <w:tc>
          <w:tcPr>
            <w:tcW w:w="2197" w:type="dxa"/>
            <w:tcBorders>
              <w:top w:val="single" w:sz="4" w:space="0" w:color="auto"/>
              <w:left w:val="nil"/>
              <w:bottom w:val="nil"/>
              <w:right w:val="nil"/>
            </w:tcBorders>
          </w:tcPr>
          <w:p w14:paraId="032FD205"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center"/>
            </w:pPr>
          </w:p>
        </w:tc>
        <w:tc>
          <w:tcPr>
            <w:tcW w:w="2197" w:type="dxa"/>
            <w:tcBorders>
              <w:top w:val="single" w:sz="4" w:space="0" w:color="auto"/>
              <w:left w:val="nil"/>
              <w:bottom w:val="nil"/>
              <w:right w:val="nil"/>
            </w:tcBorders>
          </w:tcPr>
          <w:p w14:paraId="5C98B07A"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center"/>
            </w:pPr>
          </w:p>
        </w:tc>
      </w:tr>
    </w:tbl>
    <w:p w14:paraId="566DE776" w14:textId="77777777" w:rsidR="00E7028F" w:rsidRDefault="00E7028F" w:rsidP="00E7028F">
      <w:pPr>
        <w:pStyle w:val="GG-body"/>
        <w:ind w:left="567" w:hanging="283"/>
      </w:pPr>
      <w:r>
        <w:t>(g)</w:t>
      </w:r>
      <w:r>
        <w:tab/>
        <w:t>In Part 11 of the Code, under ‘State Heritage Places’ within the section applicable to ‘Naracoorte Lucindale’, insert the following row in the table of State Heritage Places immediately after the row applying to ‘KYBYBOLITE, Dwelling (‘Kybybolite’ House)’:</w:t>
      </w:r>
    </w:p>
    <w:tbl>
      <w:tblPr>
        <w:tblStyle w:val="TableGrid"/>
        <w:tblW w:w="0" w:type="auto"/>
        <w:tblInd w:w="562" w:type="dxa"/>
        <w:tblLook w:val="04A0" w:firstRow="1" w:lastRow="0" w:firstColumn="1" w:lastColumn="0" w:noHBand="0" w:noVBand="1"/>
      </w:tblPr>
      <w:tblGrid>
        <w:gridCol w:w="2196"/>
        <w:gridCol w:w="2196"/>
        <w:gridCol w:w="2195"/>
        <w:gridCol w:w="2195"/>
      </w:tblGrid>
      <w:tr w:rsidR="00E7028F" w:rsidRPr="003A0473" w14:paraId="6C8B93FB" w14:textId="77777777" w:rsidTr="000E227A">
        <w:tc>
          <w:tcPr>
            <w:tcW w:w="2197" w:type="dxa"/>
            <w:tcBorders>
              <w:bottom w:val="single" w:sz="4" w:space="0" w:color="auto"/>
            </w:tcBorders>
          </w:tcPr>
          <w:p w14:paraId="51556BB0"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left"/>
            </w:pPr>
            <w:r w:rsidRPr="003A0473">
              <w:t xml:space="preserve">Munro Quarry Caves, </w:t>
            </w:r>
            <w:r>
              <w:br/>
            </w:r>
            <w:r w:rsidRPr="003A0473">
              <w:t>407 Hynam Caves Road</w:t>
            </w:r>
            <w:r>
              <w:t>,</w:t>
            </w:r>
            <w:r w:rsidRPr="003A0473">
              <w:t xml:space="preserve"> MOUNT LIGHT</w:t>
            </w:r>
          </w:p>
        </w:tc>
        <w:tc>
          <w:tcPr>
            <w:tcW w:w="2197" w:type="dxa"/>
            <w:tcBorders>
              <w:bottom w:val="single" w:sz="4" w:space="0" w:color="auto"/>
            </w:tcBorders>
          </w:tcPr>
          <w:p w14:paraId="55112643"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left"/>
            </w:pPr>
            <w:r w:rsidRPr="003A0473">
              <w:t xml:space="preserve">Munro Karst </w:t>
            </w:r>
            <w:r>
              <w:br/>
            </w:r>
            <w:r w:rsidRPr="003A0473">
              <w:t>(Designated as a place of speleological significance)</w:t>
            </w:r>
          </w:p>
        </w:tc>
        <w:tc>
          <w:tcPr>
            <w:tcW w:w="2197" w:type="dxa"/>
            <w:tcBorders>
              <w:bottom w:val="single" w:sz="4" w:space="0" w:color="auto"/>
            </w:tcBorders>
          </w:tcPr>
          <w:p w14:paraId="0DF5C4B1"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center"/>
            </w:pPr>
          </w:p>
        </w:tc>
        <w:tc>
          <w:tcPr>
            <w:tcW w:w="2197" w:type="dxa"/>
            <w:tcBorders>
              <w:bottom w:val="single" w:sz="4" w:space="0" w:color="auto"/>
            </w:tcBorders>
          </w:tcPr>
          <w:p w14:paraId="28876071"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center"/>
            </w:pPr>
            <w:r w:rsidRPr="003A0473">
              <w:t>28465</w:t>
            </w:r>
          </w:p>
        </w:tc>
      </w:tr>
      <w:tr w:rsidR="00E7028F" w:rsidRPr="003A0473" w14:paraId="3585E522" w14:textId="77777777" w:rsidTr="000E227A">
        <w:tc>
          <w:tcPr>
            <w:tcW w:w="2197" w:type="dxa"/>
            <w:tcBorders>
              <w:top w:val="single" w:sz="4" w:space="0" w:color="auto"/>
              <w:left w:val="nil"/>
              <w:bottom w:val="nil"/>
              <w:right w:val="nil"/>
            </w:tcBorders>
          </w:tcPr>
          <w:p w14:paraId="41B90895"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left"/>
            </w:pPr>
          </w:p>
        </w:tc>
        <w:tc>
          <w:tcPr>
            <w:tcW w:w="2197" w:type="dxa"/>
            <w:tcBorders>
              <w:top w:val="single" w:sz="4" w:space="0" w:color="auto"/>
              <w:left w:val="nil"/>
              <w:bottom w:val="nil"/>
              <w:right w:val="nil"/>
            </w:tcBorders>
          </w:tcPr>
          <w:p w14:paraId="728B1477"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left"/>
            </w:pPr>
          </w:p>
        </w:tc>
        <w:tc>
          <w:tcPr>
            <w:tcW w:w="2197" w:type="dxa"/>
            <w:tcBorders>
              <w:top w:val="single" w:sz="4" w:space="0" w:color="auto"/>
              <w:left w:val="nil"/>
              <w:bottom w:val="nil"/>
              <w:right w:val="nil"/>
            </w:tcBorders>
          </w:tcPr>
          <w:p w14:paraId="5C9D1F5A"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center"/>
            </w:pPr>
          </w:p>
        </w:tc>
        <w:tc>
          <w:tcPr>
            <w:tcW w:w="2197" w:type="dxa"/>
            <w:tcBorders>
              <w:top w:val="single" w:sz="4" w:space="0" w:color="auto"/>
              <w:left w:val="nil"/>
              <w:bottom w:val="nil"/>
              <w:right w:val="nil"/>
            </w:tcBorders>
          </w:tcPr>
          <w:p w14:paraId="12C89EEF"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center"/>
            </w:pPr>
          </w:p>
        </w:tc>
      </w:tr>
    </w:tbl>
    <w:p w14:paraId="6CB40691" w14:textId="77777777" w:rsidR="00E7028F" w:rsidRDefault="00E7028F" w:rsidP="00E7028F">
      <w:pPr>
        <w:pStyle w:val="GG-body"/>
        <w:ind w:left="567" w:hanging="283"/>
      </w:pPr>
      <w:r>
        <w:t>(h)</w:t>
      </w:r>
      <w:r>
        <w:tab/>
        <w:t>In Part 11 of the Code, under ‘State Heritage Places’ within the section applicable to ‘Norwood Payneham and St Peters’, insert the following row in the table of State Heritage Places immediately after the row applying to ‘101 Payneham Road ST PETERS’:</w:t>
      </w:r>
    </w:p>
    <w:tbl>
      <w:tblPr>
        <w:tblStyle w:val="TableGrid"/>
        <w:tblW w:w="0" w:type="auto"/>
        <w:tblInd w:w="562" w:type="dxa"/>
        <w:tblLook w:val="04A0" w:firstRow="1" w:lastRow="0" w:firstColumn="1" w:lastColumn="0" w:noHBand="0" w:noVBand="1"/>
      </w:tblPr>
      <w:tblGrid>
        <w:gridCol w:w="2196"/>
        <w:gridCol w:w="2196"/>
        <w:gridCol w:w="2195"/>
        <w:gridCol w:w="2195"/>
      </w:tblGrid>
      <w:tr w:rsidR="00E7028F" w:rsidRPr="003A0473" w14:paraId="1DAEAF1C" w14:textId="77777777" w:rsidTr="000E227A">
        <w:tc>
          <w:tcPr>
            <w:tcW w:w="2197" w:type="dxa"/>
            <w:tcBorders>
              <w:bottom w:val="single" w:sz="4" w:space="0" w:color="auto"/>
            </w:tcBorders>
          </w:tcPr>
          <w:p w14:paraId="516CD1E0"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left"/>
            </w:pPr>
            <w:r w:rsidRPr="003A0473">
              <w:t xml:space="preserve">Kaurna Country, </w:t>
            </w:r>
            <w:r>
              <w:br/>
            </w:r>
            <w:r w:rsidRPr="003A0473">
              <w:t>Lot 910 Stephen Terrace, ST PETERS</w:t>
            </w:r>
          </w:p>
        </w:tc>
        <w:tc>
          <w:tcPr>
            <w:tcW w:w="2197" w:type="dxa"/>
            <w:tcBorders>
              <w:bottom w:val="single" w:sz="4" w:space="0" w:color="auto"/>
            </w:tcBorders>
          </w:tcPr>
          <w:p w14:paraId="56BC591D"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left"/>
            </w:pPr>
            <w:r w:rsidRPr="003A0473">
              <w:t>All Souls</w:t>
            </w:r>
            <w:r>
              <w:t>’</w:t>
            </w:r>
            <w:r w:rsidRPr="003A0473">
              <w:t xml:space="preserve"> Anglican Church</w:t>
            </w:r>
          </w:p>
        </w:tc>
        <w:tc>
          <w:tcPr>
            <w:tcW w:w="2197" w:type="dxa"/>
            <w:tcBorders>
              <w:bottom w:val="single" w:sz="4" w:space="0" w:color="auto"/>
            </w:tcBorders>
          </w:tcPr>
          <w:p w14:paraId="12B3861A"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center"/>
            </w:pPr>
            <w:r w:rsidRPr="003A0473">
              <w:t>E</w:t>
            </w:r>
          </w:p>
        </w:tc>
        <w:tc>
          <w:tcPr>
            <w:tcW w:w="2197" w:type="dxa"/>
            <w:tcBorders>
              <w:bottom w:val="single" w:sz="4" w:space="0" w:color="auto"/>
            </w:tcBorders>
          </w:tcPr>
          <w:p w14:paraId="0C2C61C0"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center"/>
            </w:pPr>
            <w:r w:rsidRPr="003A0473">
              <w:t>28467</w:t>
            </w:r>
          </w:p>
        </w:tc>
      </w:tr>
      <w:tr w:rsidR="00E7028F" w:rsidRPr="003A0473" w14:paraId="5D666C96" w14:textId="77777777" w:rsidTr="000E227A">
        <w:tc>
          <w:tcPr>
            <w:tcW w:w="2197" w:type="dxa"/>
            <w:tcBorders>
              <w:top w:val="single" w:sz="4" w:space="0" w:color="auto"/>
              <w:left w:val="nil"/>
              <w:bottom w:val="nil"/>
              <w:right w:val="nil"/>
            </w:tcBorders>
          </w:tcPr>
          <w:p w14:paraId="51808D07"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left"/>
            </w:pPr>
          </w:p>
        </w:tc>
        <w:tc>
          <w:tcPr>
            <w:tcW w:w="2197" w:type="dxa"/>
            <w:tcBorders>
              <w:top w:val="single" w:sz="4" w:space="0" w:color="auto"/>
              <w:left w:val="nil"/>
              <w:bottom w:val="nil"/>
              <w:right w:val="nil"/>
            </w:tcBorders>
          </w:tcPr>
          <w:p w14:paraId="4BAF26CD"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left"/>
            </w:pPr>
          </w:p>
        </w:tc>
        <w:tc>
          <w:tcPr>
            <w:tcW w:w="2197" w:type="dxa"/>
            <w:tcBorders>
              <w:top w:val="single" w:sz="4" w:space="0" w:color="auto"/>
              <w:left w:val="nil"/>
              <w:bottom w:val="nil"/>
              <w:right w:val="nil"/>
            </w:tcBorders>
          </w:tcPr>
          <w:p w14:paraId="19705779"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center"/>
            </w:pPr>
          </w:p>
        </w:tc>
        <w:tc>
          <w:tcPr>
            <w:tcW w:w="2197" w:type="dxa"/>
            <w:tcBorders>
              <w:top w:val="single" w:sz="4" w:space="0" w:color="auto"/>
              <w:left w:val="nil"/>
              <w:bottom w:val="nil"/>
              <w:right w:val="nil"/>
            </w:tcBorders>
          </w:tcPr>
          <w:p w14:paraId="05D87E00"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center"/>
            </w:pPr>
          </w:p>
        </w:tc>
      </w:tr>
    </w:tbl>
    <w:p w14:paraId="3D60A53D" w14:textId="77777777" w:rsidR="00E7028F" w:rsidRDefault="00E7028F" w:rsidP="00E7028F">
      <w:pPr>
        <w:pStyle w:val="GG-body"/>
        <w:ind w:left="567" w:hanging="283"/>
      </w:pPr>
      <w:r>
        <w:t>(</w:t>
      </w:r>
      <w:proofErr w:type="spellStart"/>
      <w:r>
        <w:t>i</w:t>
      </w:r>
      <w:proofErr w:type="spellEnd"/>
      <w:r>
        <w:t>)</w:t>
      </w:r>
      <w:r>
        <w:tab/>
        <w:t>In Part 11 of the Code, under ‘State Heritage Places’ within the section applicable to ‘Adelaide’, insert the following row in the table of State Heritage Places immediately after the row applying to ‘25 Pirie Street ADELAIDE’:</w:t>
      </w:r>
    </w:p>
    <w:tbl>
      <w:tblPr>
        <w:tblStyle w:val="TableGrid"/>
        <w:tblW w:w="0" w:type="auto"/>
        <w:tblInd w:w="562" w:type="dxa"/>
        <w:tblLook w:val="04A0" w:firstRow="1" w:lastRow="0" w:firstColumn="1" w:lastColumn="0" w:noHBand="0" w:noVBand="1"/>
      </w:tblPr>
      <w:tblGrid>
        <w:gridCol w:w="2196"/>
        <w:gridCol w:w="2196"/>
        <w:gridCol w:w="2195"/>
        <w:gridCol w:w="2195"/>
      </w:tblGrid>
      <w:tr w:rsidR="00E7028F" w:rsidRPr="003A0473" w14:paraId="2FF8EA98" w14:textId="77777777" w:rsidTr="000E227A">
        <w:tc>
          <w:tcPr>
            <w:tcW w:w="2197" w:type="dxa"/>
            <w:tcBorders>
              <w:bottom w:val="single" w:sz="4" w:space="0" w:color="auto"/>
            </w:tcBorders>
          </w:tcPr>
          <w:p w14:paraId="3FAFDA78"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left"/>
            </w:pPr>
            <w:r w:rsidRPr="003A0473">
              <w:t xml:space="preserve">Kaurna Country, </w:t>
            </w:r>
            <w:r>
              <w:br/>
            </w:r>
            <w:r w:rsidRPr="003A0473">
              <w:t>33-33B Pirie Street</w:t>
            </w:r>
            <w:r>
              <w:t>,</w:t>
            </w:r>
            <w:r w:rsidRPr="003A0473">
              <w:t xml:space="preserve"> ADELAIDE</w:t>
            </w:r>
          </w:p>
        </w:tc>
        <w:tc>
          <w:tcPr>
            <w:tcW w:w="2197" w:type="dxa"/>
            <w:tcBorders>
              <w:bottom w:val="single" w:sz="4" w:space="0" w:color="auto"/>
            </w:tcBorders>
          </w:tcPr>
          <w:p w14:paraId="585D081B"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left"/>
            </w:pPr>
            <w:r w:rsidRPr="003A0473">
              <w:t>Epworth Building</w:t>
            </w:r>
          </w:p>
        </w:tc>
        <w:tc>
          <w:tcPr>
            <w:tcW w:w="2197" w:type="dxa"/>
            <w:tcBorders>
              <w:bottom w:val="single" w:sz="4" w:space="0" w:color="auto"/>
            </w:tcBorders>
          </w:tcPr>
          <w:p w14:paraId="040CDDD6"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center"/>
            </w:pPr>
            <w:r w:rsidRPr="003A0473">
              <w:t>G</w:t>
            </w:r>
          </w:p>
        </w:tc>
        <w:tc>
          <w:tcPr>
            <w:tcW w:w="2197" w:type="dxa"/>
            <w:tcBorders>
              <w:bottom w:val="single" w:sz="4" w:space="0" w:color="auto"/>
            </w:tcBorders>
          </w:tcPr>
          <w:p w14:paraId="7CA70F0A"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center"/>
            </w:pPr>
            <w:r w:rsidRPr="003A0473">
              <w:t>28466</w:t>
            </w:r>
          </w:p>
        </w:tc>
      </w:tr>
      <w:tr w:rsidR="00E7028F" w:rsidRPr="003A0473" w14:paraId="674E04EE" w14:textId="77777777" w:rsidTr="000E227A">
        <w:tc>
          <w:tcPr>
            <w:tcW w:w="2197" w:type="dxa"/>
            <w:tcBorders>
              <w:top w:val="single" w:sz="4" w:space="0" w:color="auto"/>
              <w:left w:val="nil"/>
              <w:bottom w:val="nil"/>
              <w:right w:val="nil"/>
            </w:tcBorders>
          </w:tcPr>
          <w:p w14:paraId="7B4C9BB6"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left"/>
            </w:pPr>
          </w:p>
        </w:tc>
        <w:tc>
          <w:tcPr>
            <w:tcW w:w="2197" w:type="dxa"/>
            <w:tcBorders>
              <w:top w:val="single" w:sz="4" w:space="0" w:color="auto"/>
              <w:left w:val="nil"/>
              <w:bottom w:val="nil"/>
              <w:right w:val="nil"/>
            </w:tcBorders>
          </w:tcPr>
          <w:p w14:paraId="44FE94CC"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left"/>
            </w:pPr>
          </w:p>
        </w:tc>
        <w:tc>
          <w:tcPr>
            <w:tcW w:w="2197" w:type="dxa"/>
            <w:tcBorders>
              <w:top w:val="single" w:sz="4" w:space="0" w:color="auto"/>
              <w:left w:val="nil"/>
              <w:bottom w:val="nil"/>
              <w:right w:val="nil"/>
            </w:tcBorders>
          </w:tcPr>
          <w:p w14:paraId="759F1D5D"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center"/>
            </w:pPr>
          </w:p>
        </w:tc>
        <w:tc>
          <w:tcPr>
            <w:tcW w:w="2197" w:type="dxa"/>
            <w:tcBorders>
              <w:top w:val="single" w:sz="4" w:space="0" w:color="auto"/>
              <w:left w:val="nil"/>
              <w:bottom w:val="nil"/>
              <w:right w:val="nil"/>
            </w:tcBorders>
          </w:tcPr>
          <w:p w14:paraId="74366F05"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center"/>
            </w:pPr>
          </w:p>
        </w:tc>
      </w:tr>
    </w:tbl>
    <w:p w14:paraId="372010E1" w14:textId="77777777" w:rsidR="00E7028F" w:rsidRDefault="00E7028F" w:rsidP="00E7028F">
      <w:pPr>
        <w:pStyle w:val="GG-body"/>
        <w:ind w:left="567" w:hanging="283"/>
      </w:pPr>
      <w:r>
        <w:t>(j)</w:t>
      </w:r>
      <w:r>
        <w:tab/>
        <w:t>In Part 11 of the Code, under ‘State Heritage Places’ within the section applicable to ‘Unley’, insert the following row in the table of State Heritage Places immediately after the row applying to ‘68 Goodwood Road WAYVILLE’:</w:t>
      </w:r>
    </w:p>
    <w:tbl>
      <w:tblPr>
        <w:tblStyle w:val="TableGrid"/>
        <w:tblW w:w="0" w:type="auto"/>
        <w:tblInd w:w="562" w:type="dxa"/>
        <w:tblLook w:val="04A0" w:firstRow="1" w:lastRow="0" w:firstColumn="1" w:lastColumn="0" w:noHBand="0" w:noVBand="1"/>
      </w:tblPr>
      <w:tblGrid>
        <w:gridCol w:w="2196"/>
        <w:gridCol w:w="2196"/>
        <w:gridCol w:w="2195"/>
        <w:gridCol w:w="2195"/>
      </w:tblGrid>
      <w:tr w:rsidR="00E7028F" w14:paraId="74A91999" w14:textId="77777777" w:rsidTr="000E227A">
        <w:tc>
          <w:tcPr>
            <w:tcW w:w="2197" w:type="dxa"/>
            <w:tcBorders>
              <w:bottom w:val="single" w:sz="4" w:space="0" w:color="auto"/>
            </w:tcBorders>
          </w:tcPr>
          <w:p w14:paraId="64344939"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left"/>
            </w:pPr>
            <w:r w:rsidRPr="003A0473">
              <w:t xml:space="preserve">Kaurna Country, </w:t>
            </w:r>
            <w:r>
              <w:br/>
            </w:r>
            <w:r w:rsidRPr="003A0473">
              <w:t>26 King William Road</w:t>
            </w:r>
            <w:r>
              <w:t>,</w:t>
            </w:r>
            <w:r w:rsidRPr="003A0473">
              <w:t xml:space="preserve"> WAYVILLE</w:t>
            </w:r>
          </w:p>
        </w:tc>
        <w:tc>
          <w:tcPr>
            <w:tcW w:w="2197" w:type="dxa"/>
            <w:tcBorders>
              <w:bottom w:val="single" w:sz="4" w:space="0" w:color="auto"/>
            </w:tcBorders>
          </w:tcPr>
          <w:p w14:paraId="44EA0678" w14:textId="77777777" w:rsidR="00E7028F" w:rsidRPr="004F011C"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left"/>
              <w:rPr>
                <w:spacing w:val="-4"/>
              </w:rPr>
            </w:pPr>
            <w:r w:rsidRPr="004F011C">
              <w:rPr>
                <w:spacing w:val="-4"/>
              </w:rPr>
              <w:t>Christ Church Uniting Church</w:t>
            </w:r>
          </w:p>
        </w:tc>
        <w:tc>
          <w:tcPr>
            <w:tcW w:w="2197" w:type="dxa"/>
            <w:tcBorders>
              <w:bottom w:val="single" w:sz="4" w:space="0" w:color="auto"/>
            </w:tcBorders>
          </w:tcPr>
          <w:p w14:paraId="6106FF9C"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center"/>
            </w:pPr>
            <w:r w:rsidRPr="003A0473">
              <w:t>E G</w:t>
            </w:r>
          </w:p>
        </w:tc>
        <w:tc>
          <w:tcPr>
            <w:tcW w:w="2197" w:type="dxa"/>
            <w:tcBorders>
              <w:bottom w:val="single" w:sz="4" w:space="0" w:color="auto"/>
            </w:tcBorders>
          </w:tcPr>
          <w:p w14:paraId="6488F197" w14:textId="77777777" w:rsidR="00E7028F"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center"/>
            </w:pPr>
            <w:r w:rsidRPr="003A0473">
              <w:t>28474</w:t>
            </w:r>
          </w:p>
        </w:tc>
      </w:tr>
      <w:tr w:rsidR="00E7028F" w14:paraId="073F93B7" w14:textId="77777777" w:rsidTr="000E227A">
        <w:tc>
          <w:tcPr>
            <w:tcW w:w="2197" w:type="dxa"/>
            <w:tcBorders>
              <w:top w:val="single" w:sz="4" w:space="0" w:color="auto"/>
              <w:left w:val="nil"/>
              <w:bottom w:val="nil"/>
              <w:right w:val="nil"/>
            </w:tcBorders>
          </w:tcPr>
          <w:p w14:paraId="16480A6E"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left"/>
            </w:pPr>
          </w:p>
        </w:tc>
        <w:tc>
          <w:tcPr>
            <w:tcW w:w="2197" w:type="dxa"/>
            <w:tcBorders>
              <w:top w:val="single" w:sz="4" w:space="0" w:color="auto"/>
              <w:left w:val="nil"/>
              <w:bottom w:val="nil"/>
              <w:right w:val="nil"/>
            </w:tcBorders>
          </w:tcPr>
          <w:p w14:paraId="64C4DD93"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left"/>
            </w:pPr>
          </w:p>
        </w:tc>
        <w:tc>
          <w:tcPr>
            <w:tcW w:w="2197" w:type="dxa"/>
            <w:tcBorders>
              <w:top w:val="single" w:sz="4" w:space="0" w:color="auto"/>
              <w:left w:val="nil"/>
              <w:bottom w:val="nil"/>
              <w:right w:val="nil"/>
            </w:tcBorders>
          </w:tcPr>
          <w:p w14:paraId="6F753268"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center"/>
            </w:pPr>
          </w:p>
        </w:tc>
        <w:tc>
          <w:tcPr>
            <w:tcW w:w="2197" w:type="dxa"/>
            <w:tcBorders>
              <w:top w:val="single" w:sz="4" w:space="0" w:color="auto"/>
              <w:left w:val="nil"/>
              <w:bottom w:val="nil"/>
              <w:right w:val="nil"/>
            </w:tcBorders>
          </w:tcPr>
          <w:p w14:paraId="7E1BB018"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center"/>
            </w:pPr>
          </w:p>
        </w:tc>
      </w:tr>
    </w:tbl>
    <w:p w14:paraId="2D1284DC" w14:textId="77777777" w:rsidR="00E7028F" w:rsidRDefault="00E7028F" w:rsidP="00E7028F">
      <w:pPr>
        <w:pStyle w:val="GG-body"/>
        <w:keepNext/>
        <w:ind w:left="568" w:hanging="284"/>
      </w:pPr>
      <w:r>
        <w:lastRenderedPageBreak/>
        <w:t>(k)</w:t>
      </w:r>
      <w:r>
        <w:tab/>
        <w:t>In Part 11 of the Code, under ‘State Heritage Places’ within the section applicable to ‘Playford’, insert the following rows in the table of State Heritage Places immediately after the row applying to ‘7 Judd Street ELIZABETH’:</w:t>
      </w:r>
    </w:p>
    <w:tbl>
      <w:tblPr>
        <w:tblStyle w:val="TableGrid"/>
        <w:tblW w:w="0" w:type="auto"/>
        <w:tblInd w:w="562" w:type="dxa"/>
        <w:tblLook w:val="04A0" w:firstRow="1" w:lastRow="0" w:firstColumn="1" w:lastColumn="0" w:noHBand="0" w:noVBand="1"/>
      </w:tblPr>
      <w:tblGrid>
        <w:gridCol w:w="2196"/>
        <w:gridCol w:w="2196"/>
        <w:gridCol w:w="2195"/>
        <w:gridCol w:w="2195"/>
      </w:tblGrid>
      <w:tr w:rsidR="00E7028F" w:rsidRPr="003A0473" w14:paraId="36F58071" w14:textId="77777777" w:rsidTr="000E227A">
        <w:tc>
          <w:tcPr>
            <w:tcW w:w="2197" w:type="dxa"/>
            <w:tcBorders>
              <w:bottom w:val="single" w:sz="4" w:space="0" w:color="auto"/>
            </w:tcBorders>
          </w:tcPr>
          <w:p w14:paraId="3A7FBA4C" w14:textId="77777777" w:rsidR="00E7028F" w:rsidRPr="003A0473" w:rsidRDefault="00E7028F" w:rsidP="000E227A">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left"/>
            </w:pPr>
            <w:r w:rsidRPr="003A0473">
              <w:t xml:space="preserve">Kaurna Country, </w:t>
            </w:r>
            <w:r>
              <w:br/>
            </w:r>
            <w:r w:rsidRPr="003A0473">
              <w:t>114 Harvey Road</w:t>
            </w:r>
            <w:r>
              <w:t>,</w:t>
            </w:r>
            <w:r w:rsidRPr="003A0473">
              <w:t xml:space="preserve"> ELIZABETH GROVE</w:t>
            </w:r>
          </w:p>
        </w:tc>
        <w:tc>
          <w:tcPr>
            <w:tcW w:w="2197" w:type="dxa"/>
            <w:tcBorders>
              <w:bottom w:val="single" w:sz="4" w:space="0" w:color="auto"/>
            </w:tcBorders>
          </w:tcPr>
          <w:p w14:paraId="511ACF4C" w14:textId="77777777" w:rsidR="00E7028F" w:rsidRPr="003A0473" w:rsidRDefault="00E7028F" w:rsidP="000E227A">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left"/>
            </w:pPr>
            <w:r w:rsidRPr="003A0473">
              <w:t xml:space="preserve">Former Elizabeth South Methodist Church </w:t>
            </w:r>
            <w:r>
              <w:br/>
            </w:r>
            <w:r w:rsidRPr="003A0473">
              <w:t>(now Elizabeth Grove Uniting Church)</w:t>
            </w:r>
          </w:p>
        </w:tc>
        <w:tc>
          <w:tcPr>
            <w:tcW w:w="2197" w:type="dxa"/>
            <w:tcBorders>
              <w:bottom w:val="single" w:sz="4" w:space="0" w:color="auto"/>
            </w:tcBorders>
          </w:tcPr>
          <w:p w14:paraId="0C8F80B6" w14:textId="77777777" w:rsidR="00E7028F" w:rsidRPr="003A0473" w:rsidRDefault="00E7028F" w:rsidP="000E227A">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center"/>
            </w:pPr>
            <w:r w:rsidRPr="003A0473">
              <w:t>A</w:t>
            </w:r>
          </w:p>
        </w:tc>
        <w:tc>
          <w:tcPr>
            <w:tcW w:w="2197" w:type="dxa"/>
            <w:tcBorders>
              <w:bottom w:val="single" w:sz="4" w:space="0" w:color="auto"/>
            </w:tcBorders>
          </w:tcPr>
          <w:p w14:paraId="78498162" w14:textId="77777777" w:rsidR="00E7028F" w:rsidRPr="003A0473" w:rsidRDefault="00E7028F" w:rsidP="000E227A">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center"/>
            </w:pPr>
            <w:r w:rsidRPr="003A0473">
              <w:t>28472</w:t>
            </w:r>
          </w:p>
        </w:tc>
      </w:tr>
      <w:tr w:rsidR="00E7028F" w:rsidRPr="003A0473" w14:paraId="7AE59F2F" w14:textId="77777777" w:rsidTr="000E227A">
        <w:tc>
          <w:tcPr>
            <w:tcW w:w="2197" w:type="dxa"/>
            <w:tcBorders>
              <w:bottom w:val="single" w:sz="4" w:space="0" w:color="auto"/>
            </w:tcBorders>
          </w:tcPr>
          <w:p w14:paraId="034D4200" w14:textId="77777777" w:rsidR="00E7028F" w:rsidRPr="003A0473" w:rsidRDefault="00E7028F" w:rsidP="000E227A">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left"/>
            </w:pPr>
            <w:r w:rsidRPr="003A0473">
              <w:t xml:space="preserve">Kaurna Country, </w:t>
            </w:r>
            <w:r>
              <w:br/>
            </w:r>
            <w:r w:rsidRPr="003A0473">
              <w:t>106 Goodman Road</w:t>
            </w:r>
            <w:r>
              <w:t>,</w:t>
            </w:r>
            <w:r w:rsidRPr="003A0473">
              <w:t xml:space="preserve"> ELIZABETH SOUTH</w:t>
            </w:r>
          </w:p>
        </w:tc>
        <w:tc>
          <w:tcPr>
            <w:tcW w:w="2197" w:type="dxa"/>
            <w:tcBorders>
              <w:bottom w:val="single" w:sz="4" w:space="0" w:color="auto"/>
            </w:tcBorders>
          </w:tcPr>
          <w:p w14:paraId="45E9B066" w14:textId="77777777" w:rsidR="00E7028F" w:rsidRPr="003A0473" w:rsidRDefault="00E7028F" w:rsidP="000E227A">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left"/>
            </w:pPr>
            <w:r w:rsidRPr="003A0473">
              <w:t xml:space="preserve">Former Jean Flynn Presbyterian Church </w:t>
            </w:r>
            <w:r>
              <w:br/>
            </w:r>
            <w:r w:rsidRPr="007B3766">
              <w:rPr>
                <w:spacing w:val="-4"/>
              </w:rPr>
              <w:t xml:space="preserve">(now Adelaide Presbyterian </w:t>
            </w:r>
            <w:r w:rsidRPr="007B3766">
              <w:t>Church Elizabeth)</w:t>
            </w:r>
          </w:p>
        </w:tc>
        <w:tc>
          <w:tcPr>
            <w:tcW w:w="2197" w:type="dxa"/>
            <w:tcBorders>
              <w:bottom w:val="single" w:sz="4" w:space="0" w:color="auto"/>
            </w:tcBorders>
          </w:tcPr>
          <w:p w14:paraId="31210DF4" w14:textId="77777777" w:rsidR="00E7028F" w:rsidRPr="003A0473" w:rsidRDefault="00E7028F" w:rsidP="000E227A">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center"/>
            </w:pPr>
            <w:r w:rsidRPr="003A0473">
              <w:t>A</w:t>
            </w:r>
          </w:p>
        </w:tc>
        <w:tc>
          <w:tcPr>
            <w:tcW w:w="2197" w:type="dxa"/>
            <w:tcBorders>
              <w:bottom w:val="single" w:sz="4" w:space="0" w:color="auto"/>
            </w:tcBorders>
          </w:tcPr>
          <w:p w14:paraId="5C210C66" w14:textId="77777777" w:rsidR="00E7028F" w:rsidRPr="003A0473" w:rsidRDefault="00E7028F" w:rsidP="000E227A">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center"/>
            </w:pPr>
            <w:r w:rsidRPr="003A0473">
              <w:t>28473</w:t>
            </w:r>
          </w:p>
        </w:tc>
      </w:tr>
      <w:tr w:rsidR="00E7028F" w:rsidRPr="003A0473" w14:paraId="791F8FE2" w14:textId="77777777" w:rsidTr="000E227A">
        <w:tc>
          <w:tcPr>
            <w:tcW w:w="2197" w:type="dxa"/>
            <w:tcBorders>
              <w:top w:val="single" w:sz="4" w:space="0" w:color="auto"/>
              <w:left w:val="nil"/>
              <w:bottom w:val="nil"/>
              <w:right w:val="nil"/>
            </w:tcBorders>
          </w:tcPr>
          <w:p w14:paraId="5618D11F" w14:textId="77777777" w:rsidR="00E7028F" w:rsidRPr="003A0473" w:rsidRDefault="00E7028F" w:rsidP="000E227A">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59" w:hanging="159"/>
              <w:jc w:val="left"/>
            </w:pPr>
          </w:p>
        </w:tc>
        <w:tc>
          <w:tcPr>
            <w:tcW w:w="2197" w:type="dxa"/>
            <w:tcBorders>
              <w:top w:val="single" w:sz="4" w:space="0" w:color="auto"/>
              <w:left w:val="nil"/>
              <w:bottom w:val="nil"/>
              <w:right w:val="nil"/>
            </w:tcBorders>
          </w:tcPr>
          <w:p w14:paraId="111B86A1" w14:textId="77777777" w:rsidR="00E7028F" w:rsidRPr="003A0473" w:rsidRDefault="00E7028F" w:rsidP="000E227A">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59" w:hanging="159"/>
              <w:jc w:val="left"/>
            </w:pPr>
          </w:p>
        </w:tc>
        <w:tc>
          <w:tcPr>
            <w:tcW w:w="2197" w:type="dxa"/>
            <w:tcBorders>
              <w:top w:val="single" w:sz="4" w:space="0" w:color="auto"/>
              <w:left w:val="nil"/>
              <w:bottom w:val="nil"/>
              <w:right w:val="nil"/>
            </w:tcBorders>
          </w:tcPr>
          <w:p w14:paraId="68088555" w14:textId="77777777" w:rsidR="00E7028F" w:rsidRPr="003A0473" w:rsidRDefault="00E7028F" w:rsidP="000E227A">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59" w:hanging="159"/>
              <w:jc w:val="center"/>
            </w:pPr>
          </w:p>
        </w:tc>
        <w:tc>
          <w:tcPr>
            <w:tcW w:w="2197" w:type="dxa"/>
            <w:tcBorders>
              <w:top w:val="single" w:sz="4" w:space="0" w:color="auto"/>
              <w:left w:val="nil"/>
              <w:bottom w:val="nil"/>
              <w:right w:val="nil"/>
            </w:tcBorders>
          </w:tcPr>
          <w:p w14:paraId="29F00C96" w14:textId="77777777" w:rsidR="00E7028F" w:rsidRPr="003A0473" w:rsidRDefault="00E7028F" w:rsidP="000E227A">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59" w:hanging="159"/>
              <w:jc w:val="center"/>
            </w:pPr>
          </w:p>
        </w:tc>
      </w:tr>
    </w:tbl>
    <w:p w14:paraId="4ADFD68C" w14:textId="77777777" w:rsidR="00E7028F" w:rsidRDefault="00E7028F" w:rsidP="00E7028F">
      <w:pPr>
        <w:pStyle w:val="GG-body"/>
        <w:ind w:left="567" w:hanging="283"/>
      </w:pPr>
      <w:r>
        <w:t>(l)</w:t>
      </w:r>
      <w:r>
        <w:tab/>
        <w:t>In Part 11 of the Code, under ‘State Heritage Places’ within the section applicable to ‘Adelaide’, insert the following row in the table of State Heritage Places immediately after the row applying to ‘299 Rundle Street ADELAIDE’:</w:t>
      </w:r>
    </w:p>
    <w:tbl>
      <w:tblPr>
        <w:tblStyle w:val="TableGrid"/>
        <w:tblW w:w="0" w:type="auto"/>
        <w:tblInd w:w="562" w:type="dxa"/>
        <w:tblLook w:val="04A0" w:firstRow="1" w:lastRow="0" w:firstColumn="1" w:lastColumn="0" w:noHBand="0" w:noVBand="1"/>
      </w:tblPr>
      <w:tblGrid>
        <w:gridCol w:w="2196"/>
        <w:gridCol w:w="2196"/>
        <w:gridCol w:w="2195"/>
        <w:gridCol w:w="2195"/>
      </w:tblGrid>
      <w:tr w:rsidR="00E7028F" w:rsidRPr="003A0473" w14:paraId="6FE12508" w14:textId="77777777" w:rsidTr="000E227A">
        <w:tc>
          <w:tcPr>
            <w:tcW w:w="2197" w:type="dxa"/>
            <w:tcBorders>
              <w:bottom w:val="single" w:sz="4" w:space="0" w:color="auto"/>
            </w:tcBorders>
          </w:tcPr>
          <w:p w14:paraId="0836A609"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left"/>
            </w:pPr>
            <w:r w:rsidRPr="003A0473">
              <w:t>Kaurna Country, 187</w:t>
            </w:r>
            <w:r>
              <w:t>-</w:t>
            </w:r>
            <w:r w:rsidRPr="003A0473">
              <w:t>195 Rundle Street</w:t>
            </w:r>
            <w:r>
              <w:t>,</w:t>
            </w:r>
            <w:r w:rsidRPr="003A0473">
              <w:t xml:space="preserve"> ADELAIDE</w:t>
            </w:r>
          </w:p>
        </w:tc>
        <w:tc>
          <w:tcPr>
            <w:tcW w:w="2197" w:type="dxa"/>
            <w:tcBorders>
              <w:bottom w:val="single" w:sz="4" w:space="0" w:color="auto"/>
            </w:tcBorders>
          </w:tcPr>
          <w:p w14:paraId="338C4D56"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left"/>
            </w:pPr>
            <w:r w:rsidRPr="003A0473">
              <w:t>Malcolm Reid</w:t>
            </w:r>
            <w:r>
              <w:t>’</w:t>
            </w:r>
            <w:r w:rsidRPr="003A0473">
              <w:t>s Emporium</w:t>
            </w:r>
          </w:p>
        </w:tc>
        <w:tc>
          <w:tcPr>
            <w:tcW w:w="2197" w:type="dxa"/>
            <w:tcBorders>
              <w:bottom w:val="single" w:sz="4" w:space="0" w:color="auto"/>
            </w:tcBorders>
          </w:tcPr>
          <w:p w14:paraId="287F9A36"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center"/>
            </w:pPr>
          </w:p>
        </w:tc>
        <w:tc>
          <w:tcPr>
            <w:tcW w:w="2197" w:type="dxa"/>
            <w:tcBorders>
              <w:bottom w:val="single" w:sz="4" w:space="0" w:color="auto"/>
            </w:tcBorders>
          </w:tcPr>
          <w:p w14:paraId="424BC569"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center"/>
            </w:pPr>
            <w:r w:rsidRPr="003A0473">
              <w:t>28475</w:t>
            </w:r>
          </w:p>
        </w:tc>
      </w:tr>
      <w:tr w:rsidR="00E7028F" w:rsidRPr="003A0473" w14:paraId="6A5350BB" w14:textId="77777777" w:rsidTr="000E227A">
        <w:tc>
          <w:tcPr>
            <w:tcW w:w="2197" w:type="dxa"/>
            <w:tcBorders>
              <w:top w:val="single" w:sz="4" w:space="0" w:color="auto"/>
              <w:left w:val="nil"/>
              <w:bottom w:val="nil"/>
              <w:right w:val="nil"/>
            </w:tcBorders>
          </w:tcPr>
          <w:p w14:paraId="2B56A695"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left"/>
            </w:pPr>
          </w:p>
        </w:tc>
        <w:tc>
          <w:tcPr>
            <w:tcW w:w="2197" w:type="dxa"/>
            <w:tcBorders>
              <w:top w:val="single" w:sz="4" w:space="0" w:color="auto"/>
              <w:left w:val="nil"/>
              <w:bottom w:val="nil"/>
              <w:right w:val="nil"/>
            </w:tcBorders>
          </w:tcPr>
          <w:p w14:paraId="36417394"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left"/>
            </w:pPr>
          </w:p>
        </w:tc>
        <w:tc>
          <w:tcPr>
            <w:tcW w:w="2197" w:type="dxa"/>
            <w:tcBorders>
              <w:top w:val="single" w:sz="4" w:space="0" w:color="auto"/>
              <w:left w:val="nil"/>
              <w:bottom w:val="nil"/>
              <w:right w:val="nil"/>
            </w:tcBorders>
          </w:tcPr>
          <w:p w14:paraId="07FBB941"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center"/>
            </w:pPr>
          </w:p>
        </w:tc>
        <w:tc>
          <w:tcPr>
            <w:tcW w:w="2197" w:type="dxa"/>
            <w:tcBorders>
              <w:top w:val="single" w:sz="4" w:space="0" w:color="auto"/>
              <w:left w:val="nil"/>
              <w:bottom w:val="nil"/>
              <w:right w:val="nil"/>
            </w:tcBorders>
          </w:tcPr>
          <w:p w14:paraId="5EFEA6D6" w14:textId="77777777" w:rsidR="00E7028F" w:rsidRPr="003A0473"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center"/>
            </w:pPr>
          </w:p>
        </w:tc>
      </w:tr>
    </w:tbl>
    <w:p w14:paraId="194D12D7" w14:textId="77777777" w:rsidR="00E7028F" w:rsidRDefault="00E7028F" w:rsidP="00E7028F">
      <w:pPr>
        <w:pStyle w:val="GG-body"/>
        <w:ind w:left="567" w:hanging="283"/>
      </w:pPr>
      <w:r>
        <w:t>(m)</w:t>
      </w:r>
      <w:r>
        <w:tab/>
        <w:t>In Part 13—Table of Amendments, update the publication date, Code version number, amendment type and summary of amendments within the ‘Table of Planning and Design Code Amendments’ to reflect the amendments to the Code as described in this Notice.</w:t>
      </w:r>
    </w:p>
    <w:p w14:paraId="3CD89414" w14:textId="77777777" w:rsidR="00E7028F" w:rsidRDefault="00E7028F" w:rsidP="00E7028F">
      <w:pPr>
        <w:pStyle w:val="GG-body"/>
        <w:ind w:left="284" w:hanging="284"/>
      </w:pPr>
      <w:r>
        <w:t>2.</w:t>
      </w:r>
      <w:r>
        <w:tab/>
        <w:t>Pursuant to Section 76(5)(a) of the Act, I further specify that the amendments to the Code as described in this Notice will take effect upon the date those amendments are published on the SA planning portal.</w:t>
      </w:r>
    </w:p>
    <w:p w14:paraId="5BB5922A" w14:textId="77777777" w:rsidR="00E7028F" w:rsidRDefault="00E7028F" w:rsidP="00E7028F">
      <w:pPr>
        <w:pStyle w:val="GG-SDated"/>
      </w:pPr>
      <w:r>
        <w:t>Dated: 24 February 2025</w:t>
      </w:r>
    </w:p>
    <w:p w14:paraId="5FB5395C" w14:textId="77777777" w:rsidR="00E7028F" w:rsidRDefault="00E7028F" w:rsidP="00E7028F">
      <w:pPr>
        <w:pStyle w:val="GG-SName"/>
      </w:pPr>
      <w:r>
        <w:t>Nadia Gencarelli</w:t>
      </w:r>
    </w:p>
    <w:p w14:paraId="46667209" w14:textId="77777777" w:rsidR="00E7028F" w:rsidRDefault="00E7028F" w:rsidP="00E7028F">
      <w:pPr>
        <w:pStyle w:val="GG-Signature"/>
      </w:pPr>
      <w:r>
        <w:t>Manager, Planning and Design Code</w:t>
      </w:r>
    </w:p>
    <w:p w14:paraId="6331A786" w14:textId="77777777" w:rsidR="00E7028F" w:rsidRDefault="00E7028F" w:rsidP="00E7028F">
      <w:pPr>
        <w:pStyle w:val="GG-Signature"/>
      </w:pPr>
      <w:r>
        <w:t>Department for Housing and Urban Development</w:t>
      </w:r>
    </w:p>
    <w:p w14:paraId="02F49ADF" w14:textId="77777777" w:rsidR="00E7028F" w:rsidRDefault="00E7028F" w:rsidP="00E7028F">
      <w:pPr>
        <w:pStyle w:val="GG-Signature"/>
      </w:pPr>
      <w:r>
        <w:t>Delegate of the Minister for Planning</w:t>
      </w:r>
    </w:p>
    <w:p w14:paraId="7CE612A8" w14:textId="77777777" w:rsidR="00E7028F" w:rsidRDefault="00E7028F" w:rsidP="00E7028F">
      <w:pPr>
        <w:pStyle w:val="GG-body"/>
        <w:pBdr>
          <w:top w:val="single" w:sz="4" w:space="1" w:color="auto"/>
        </w:pBdr>
        <w:spacing w:before="100" w:line="14" w:lineRule="exact"/>
        <w:ind w:left="1077" w:right="1077"/>
        <w:jc w:val="center"/>
      </w:pPr>
    </w:p>
    <w:p w14:paraId="2166B956" w14:textId="77777777" w:rsidR="00E7028F" w:rsidRDefault="00E7028F" w:rsidP="00E7028F">
      <w:pPr>
        <w:pStyle w:val="GG-body"/>
      </w:pPr>
      <w:r>
        <w:br w:type="page"/>
      </w:r>
    </w:p>
    <w:p w14:paraId="49C31379" w14:textId="064AD88D" w:rsidR="00E7028F" w:rsidRDefault="00E7028F" w:rsidP="00E7028F">
      <w:pPr>
        <w:pStyle w:val="GG-Title2"/>
      </w:pPr>
      <w:r>
        <w:rPr>
          <w:noProof/>
        </w:rPr>
        <w:lastRenderedPageBreak/>
        <w:drawing>
          <wp:anchor distT="0" distB="0" distL="114300" distR="114300" simplePos="0" relativeHeight="251661312" behindDoc="0" locked="0" layoutInCell="1" allowOverlap="1" wp14:anchorId="2D9371E2" wp14:editId="0AF6C322">
            <wp:simplePos x="0" y="0"/>
            <wp:positionH relativeFrom="page">
              <wp:posOffset>813435</wp:posOffset>
            </wp:positionH>
            <wp:positionV relativeFrom="paragraph">
              <wp:posOffset>197279</wp:posOffset>
            </wp:positionV>
            <wp:extent cx="5937250" cy="8389620"/>
            <wp:effectExtent l="0" t="0" r="6350" b="0"/>
            <wp:wrapTopAndBottom/>
            <wp:docPr id="698438875" name="Picture 1" descr="A blue and purple rectangular objec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38875" name="Picture 1" descr="A blue and purple rectangular object with black text&#10;&#10;AI-generated content may be incorrec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37250" cy="8389620"/>
                    </a:xfrm>
                    <a:prstGeom prst="rect">
                      <a:avLst/>
                    </a:prstGeom>
                    <a:noFill/>
                    <a:ln>
                      <a:noFill/>
                    </a:ln>
                  </pic:spPr>
                </pic:pic>
              </a:graphicData>
            </a:graphic>
            <wp14:sizeRelH relativeFrom="page">
              <wp14:pctWidth>0</wp14:pctWidth>
            </wp14:sizeRelH>
            <wp14:sizeRelV relativeFrom="page">
              <wp14:pctHeight>0</wp14:pctHeight>
            </wp14:sizeRelV>
          </wp:anchor>
        </w:drawing>
      </w:r>
      <w:r>
        <w:t>Attachment A</w:t>
      </w:r>
    </w:p>
    <w:p w14:paraId="38981D5C" w14:textId="77777777" w:rsidR="00E7028F" w:rsidRDefault="00E7028F" w:rsidP="00E7028F">
      <w:pPr>
        <w:pStyle w:val="GG-body"/>
        <w:pBdr>
          <w:bottom w:val="single" w:sz="4" w:space="1" w:color="auto"/>
        </w:pBdr>
        <w:spacing w:after="0" w:line="52" w:lineRule="exact"/>
        <w:jc w:val="center"/>
      </w:pPr>
    </w:p>
    <w:p w14:paraId="195291D4" w14:textId="77777777" w:rsidR="00E7028F" w:rsidRDefault="00E7028F" w:rsidP="00E7028F">
      <w:pPr>
        <w:pStyle w:val="GG-body"/>
        <w:pBdr>
          <w:top w:val="single" w:sz="4" w:space="1" w:color="auto"/>
        </w:pBdr>
        <w:spacing w:before="34" w:after="0" w:line="14" w:lineRule="exact"/>
        <w:jc w:val="center"/>
      </w:pPr>
    </w:p>
    <w:p w14:paraId="42056C25" w14:textId="77777777" w:rsidR="00BB5B94" w:rsidRDefault="00BB5B94" w:rsidP="00BB5B94">
      <w:pPr>
        <w:spacing w:after="0" w:line="120" w:lineRule="exact"/>
        <w:jc w:val="left"/>
        <w:rPr>
          <w:rFonts w:eastAsia="Times New Roman"/>
          <w:szCs w:val="17"/>
        </w:rPr>
      </w:pPr>
      <w:r>
        <w:br w:type="page"/>
      </w:r>
    </w:p>
    <w:p w14:paraId="1D8972C9" w14:textId="1448A598" w:rsidR="00E7028F" w:rsidRDefault="00E7028F" w:rsidP="00E7028F">
      <w:pPr>
        <w:pStyle w:val="GG-body"/>
      </w:pPr>
      <w:r>
        <w:lastRenderedPageBreak/>
        <w:t>[</w:t>
      </w:r>
      <w:r w:rsidRPr="00B16359">
        <w:rPr>
          <w:smallCaps/>
        </w:rPr>
        <w:t>Republished</w:t>
      </w:r>
      <w:r>
        <w:t>]</w:t>
      </w:r>
    </w:p>
    <w:p w14:paraId="3D0538E6" w14:textId="77777777" w:rsidR="00E7028F" w:rsidRPr="008E7BFC" w:rsidRDefault="00E7028F" w:rsidP="00E7028F">
      <w:pPr>
        <w:pStyle w:val="GG-body"/>
      </w:pPr>
      <w:r w:rsidRPr="00D105F0">
        <w:rPr>
          <w:spacing w:val="-2"/>
        </w:rPr>
        <w:t xml:space="preserve">The following notice published in the </w:t>
      </w:r>
      <w:r w:rsidRPr="00D105F0">
        <w:rPr>
          <w:i/>
          <w:iCs/>
          <w:spacing w:val="-2"/>
        </w:rPr>
        <w:t>South Australian Government Gazette</w:t>
      </w:r>
      <w:r w:rsidRPr="00D105F0">
        <w:rPr>
          <w:spacing w:val="-2"/>
        </w:rPr>
        <w:t xml:space="preserve"> No. 11, dated 20 February 2025, on page 214, under the heading</w:t>
      </w:r>
      <w:r w:rsidRPr="008E7BFC">
        <w:t xml:space="preserve"> </w:t>
      </w:r>
      <w:r w:rsidRPr="00D56412">
        <w:rPr>
          <w:i/>
          <w:iCs/>
        </w:rPr>
        <w:t>Police Act 1998</w:t>
      </w:r>
      <w:r w:rsidRPr="008E7BFC">
        <w:t xml:space="preserve">, </w:t>
      </w:r>
      <w:r>
        <w:t xml:space="preserve">being the second notice on that page, </w:t>
      </w:r>
      <w:r w:rsidRPr="008E7BFC">
        <w:t>w</w:t>
      </w:r>
      <w:r>
        <w:t>as</w:t>
      </w:r>
      <w:r w:rsidRPr="008E7BFC">
        <w:t xml:space="preserve"> published with a</w:t>
      </w:r>
      <w:r>
        <w:t xml:space="preserve"> spelling</w:t>
      </w:r>
      <w:r w:rsidRPr="008E7BFC">
        <w:t xml:space="preserve"> error and should be replaced with the following:</w:t>
      </w:r>
    </w:p>
    <w:p w14:paraId="0C64AC05" w14:textId="097157AC" w:rsidR="00E7028F" w:rsidRDefault="007004B5" w:rsidP="007004B5">
      <w:pPr>
        <w:pStyle w:val="Heading2"/>
      </w:pPr>
      <w:bookmarkStart w:id="65" w:name="_Toc191542989"/>
      <w:r>
        <w:t>Police Act 1998</w:t>
      </w:r>
      <w:bookmarkEnd w:id="65"/>
    </w:p>
    <w:p w14:paraId="0D27F4D7" w14:textId="77777777" w:rsidR="00E7028F" w:rsidRDefault="00E7028F" w:rsidP="00E7028F">
      <w:pPr>
        <w:pStyle w:val="GG-Title3"/>
      </w:pPr>
      <w:r>
        <w:t>Authorisation to Conduct Oral Fluid Screening</w:t>
      </w:r>
    </w:p>
    <w:p w14:paraId="50E89859" w14:textId="77777777" w:rsidR="00E7028F" w:rsidRDefault="00E7028F" w:rsidP="00836CCB">
      <w:pPr>
        <w:pStyle w:val="GG-body"/>
        <w:spacing w:after="60"/>
      </w:pPr>
      <w:r>
        <w:t>I, Grant Stevens, Commissioner of Police, do hereby notify that on and from 11 February 2025, the following persons were authorised by the Commissioner of Police to conduct oral fluid screening as defined in and for the purposes of the:</w:t>
      </w:r>
    </w:p>
    <w:p w14:paraId="062969AC" w14:textId="77777777" w:rsidR="00E7028F" w:rsidRDefault="00E7028F" w:rsidP="00836CCB">
      <w:pPr>
        <w:pStyle w:val="GG-body"/>
        <w:spacing w:after="0"/>
        <w:ind w:left="284" w:hanging="142"/>
      </w:pPr>
      <w:r>
        <w:t>•</w:t>
      </w:r>
      <w:r>
        <w:tab/>
      </w:r>
      <w:r w:rsidRPr="00B16359">
        <w:rPr>
          <w:i/>
          <w:iCs/>
        </w:rPr>
        <w:t>Police Act 1998</w:t>
      </w:r>
      <w:r>
        <w:t>; and</w:t>
      </w:r>
    </w:p>
    <w:p w14:paraId="7DC7AF11" w14:textId="77777777" w:rsidR="00E7028F" w:rsidRDefault="00E7028F" w:rsidP="00836CCB">
      <w:pPr>
        <w:pStyle w:val="GG-body"/>
        <w:spacing w:after="60"/>
        <w:ind w:left="284" w:hanging="142"/>
      </w:pPr>
      <w:r>
        <w:t>•</w:t>
      </w:r>
      <w:r>
        <w:tab/>
      </w:r>
      <w:r w:rsidRPr="00B16359">
        <w:rPr>
          <w:i/>
          <w:iCs/>
        </w:rPr>
        <w:t>Police Regulations 2014</w:t>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1631"/>
      </w:tblGrid>
      <w:tr w:rsidR="00E7028F" w:rsidRPr="003E6088" w14:paraId="111FC1F3" w14:textId="77777777" w:rsidTr="000E227A">
        <w:trPr>
          <w:jc w:val="center"/>
        </w:trPr>
        <w:tc>
          <w:tcPr>
            <w:tcW w:w="1630" w:type="dxa"/>
            <w:tcBorders>
              <w:top w:val="single" w:sz="4" w:space="0" w:color="auto"/>
              <w:bottom w:val="single" w:sz="4" w:space="0" w:color="auto"/>
            </w:tcBorders>
            <w:vAlign w:val="center"/>
          </w:tcPr>
          <w:p w14:paraId="7094193B"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3E6088">
              <w:rPr>
                <w:b/>
                <w:bCs/>
              </w:rPr>
              <w:t>PD Number</w:t>
            </w:r>
          </w:p>
        </w:tc>
        <w:tc>
          <w:tcPr>
            <w:tcW w:w="1631" w:type="dxa"/>
            <w:tcBorders>
              <w:top w:val="single" w:sz="4" w:space="0" w:color="auto"/>
              <w:bottom w:val="single" w:sz="4" w:space="0" w:color="auto"/>
            </w:tcBorders>
            <w:vAlign w:val="center"/>
          </w:tcPr>
          <w:p w14:paraId="7C98E896"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3E6088">
              <w:rPr>
                <w:b/>
                <w:bCs/>
              </w:rPr>
              <w:t>Officer Name</w:t>
            </w:r>
          </w:p>
        </w:tc>
      </w:tr>
      <w:tr w:rsidR="00E7028F" w:rsidRPr="003E6088" w14:paraId="19E860F1" w14:textId="77777777" w:rsidTr="000E227A">
        <w:trPr>
          <w:jc w:val="center"/>
        </w:trPr>
        <w:tc>
          <w:tcPr>
            <w:tcW w:w="1630" w:type="dxa"/>
            <w:tcBorders>
              <w:top w:val="single" w:sz="4" w:space="0" w:color="auto"/>
            </w:tcBorders>
          </w:tcPr>
          <w:p w14:paraId="0A6039B5"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center"/>
            </w:pPr>
            <w:r w:rsidRPr="003E6088">
              <w:t>73476</w:t>
            </w:r>
          </w:p>
        </w:tc>
        <w:tc>
          <w:tcPr>
            <w:tcW w:w="1631" w:type="dxa"/>
            <w:tcBorders>
              <w:top w:val="single" w:sz="4" w:space="0" w:color="auto"/>
            </w:tcBorders>
          </w:tcPr>
          <w:p w14:paraId="28929199"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pPr>
            <w:r w:rsidRPr="003E6088">
              <w:t>Kylie Evans</w:t>
            </w:r>
          </w:p>
        </w:tc>
      </w:tr>
      <w:tr w:rsidR="00E7028F" w:rsidRPr="003E6088" w14:paraId="1E2E6CFF" w14:textId="77777777" w:rsidTr="000E227A">
        <w:trPr>
          <w:jc w:val="center"/>
        </w:trPr>
        <w:tc>
          <w:tcPr>
            <w:tcW w:w="1630" w:type="dxa"/>
          </w:tcPr>
          <w:p w14:paraId="02DBC689"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3E6088">
              <w:t>76201</w:t>
            </w:r>
          </w:p>
        </w:tc>
        <w:tc>
          <w:tcPr>
            <w:tcW w:w="1631" w:type="dxa"/>
          </w:tcPr>
          <w:p w14:paraId="445C2619"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3E6088">
              <w:t xml:space="preserve">Nicholas </w:t>
            </w:r>
            <w:proofErr w:type="spellStart"/>
            <w:r w:rsidRPr="003E6088">
              <w:t>Gamtcheff</w:t>
            </w:r>
            <w:proofErr w:type="spellEnd"/>
          </w:p>
        </w:tc>
      </w:tr>
      <w:tr w:rsidR="00E7028F" w:rsidRPr="003E6088" w14:paraId="5B97FB24" w14:textId="77777777" w:rsidTr="000E227A">
        <w:trPr>
          <w:jc w:val="center"/>
        </w:trPr>
        <w:tc>
          <w:tcPr>
            <w:tcW w:w="1630" w:type="dxa"/>
          </w:tcPr>
          <w:p w14:paraId="761829EE"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3E6088">
              <w:t>45575</w:t>
            </w:r>
          </w:p>
        </w:tc>
        <w:tc>
          <w:tcPr>
            <w:tcW w:w="1631" w:type="dxa"/>
          </w:tcPr>
          <w:p w14:paraId="180D919D"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3E6088">
              <w:t>Kathryn Hart</w:t>
            </w:r>
          </w:p>
        </w:tc>
      </w:tr>
      <w:tr w:rsidR="00E7028F" w:rsidRPr="003E6088" w14:paraId="22162E5C" w14:textId="77777777" w:rsidTr="000E227A">
        <w:trPr>
          <w:jc w:val="center"/>
        </w:trPr>
        <w:tc>
          <w:tcPr>
            <w:tcW w:w="1630" w:type="dxa"/>
          </w:tcPr>
          <w:p w14:paraId="708A7C60"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3E6088">
              <w:t>59893</w:t>
            </w:r>
          </w:p>
        </w:tc>
        <w:tc>
          <w:tcPr>
            <w:tcW w:w="1631" w:type="dxa"/>
          </w:tcPr>
          <w:p w14:paraId="0BD26916"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3E6088">
              <w:t>Amanda Lipman</w:t>
            </w:r>
          </w:p>
        </w:tc>
      </w:tr>
      <w:tr w:rsidR="00E7028F" w:rsidRPr="003E6088" w14:paraId="2F5B0CB6" w14:textId="77777777" w:rsidTr="000E227A">
        <w:trPr>
          <w:jc w:val="center"/>
        </w:trPr>
        <w:tc>
          <w:tcPr>
            <w:tcW w:w="1630" w:type="dxa"/>
            <w:tcBorders>
              <w:bottom w:val="single" w:sz="4" w:space="0" w:color="auto"/>
            </w:tcBorders>
          </w:tcPr>
          <w:p w14:paraId="47FD5032" w14:textId="77777777" w:rsidR="00E7028F" w:rsidRPr="003E6088" w:rsidRDefault="00E7028F" w:rsidP="00D04E5B">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jc w:val="center"/>
            </w:pPr>
            <w:r w:rsidRPr="003E6088">
              <w:t>72154</w:t>
            </w:r>
          </w:p>
        </w:tc>
        <w:tc>
          <w:tcPr>
            <w:tcW w:w="1631" w:type="dxa"/>
            <w:tcBorders>
              <w:bottom w:val="single" w:sz="4" w:space="0" w:color="auto"/>
            </w:tcBorders>
          </w:tcPr>
          <w:p w14:paraId="5BFA60A9" w14:textId="77777777" w:rsidR="00E7028F" w:rsidRPr="003E6088" w:rsidRDefault="00E7028F" w:rsidP="00D04E5B">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pPr>
            <w:r w:rsidRPr="003E6088">
              <w:t xml:space="preserve">Kylee Von </w:t>
            </w:r>
            <w:proofErr w:type="spellStart"/>
            <w:r w:rsidRPr="003E6088">
              <w:t>Ohle</w:t>
            </w:r>
            <w:proofErr w:type="spellEnd"/>
          </w:p>
        </w:tc>
      </w:tr>
      <w:tr w:rsidR="00E7028F" w:rsidRPr="003E6088" w14:paraId="06A92C5B" w14:textId="77777777" w:rsidTr="000E227A">
        <w:trPr>
          <w:jc w:val="center"/>
        </w:trPr>
        <w:tc>
          <w:tcPr>
            <w:tcW w:w="1630" w:type="dxa"/>
            <w:tcBorders>
              <w:top w:val="single" w:sz="4" w:space="0" w:color="auto"/>
            </w:tcBorders>
          </w:tcPr>
          <w:p w14:paraId="53036960"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631" w:type="dxa"/>
            <w:tcBorders>
              <w:top w:val="single" w:sz="4" w:space="0" w:color="auto"/>
            </w:tcBorders>
          </w:tcPr>
          <w:p w14:paraId="44EE57C0"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23175D1A" w14:textId="77777777" w:rsidR="00E7028F" w:rsidRDefault="00E7028F" w:rsidP="00E7028F">
      <w:pPr>
        <w:pStyle w:val="GG-SDated"/>
      </w:pPr>
      <w:r>
        <w:t>Dated: 14 February 2025</w:t>
      </w:r>
    </w:p>
    <w:p w14:paraId="525B7135" w14:textId="77777777" w:rsidR="00E7028F" w:rsidRDefault="00E7028F" w:rsidP="00E7028F">
      <w:pPr>
        <w:pStyle w:val="GG-SName"/>
      </w:pPr>
      <w:r>
        <w:t>Grant Stevens</w:t>
      </w:r>
    </w:p>
    <w:p w14:paraId="1912D207" w14:textId="77777777" w:rsidR="00E7028F" w:rsidRDefault="00E7028F" w:rsidP="00E7028F">
      <w:pPr>
        <w:pStyle w:val="GG-Signature"/>
      </w:pPr>
      <w:r>
        <w:t>Commissioner of Police</w:t>
      </w:r>
    </w:p>
    <w:p w14:paraId="02100CDF" w14:textId="77777777" w:rsidR="00E7028F" w:rsidRDefault="00E7028F" w:rsidP="00E7028F">
      <w:pPr>
        <w:pStyle w:val="GG-body"/>
        <w:spacing w:after="0"/>
      </w:pPr>
      <w:r>
        <w:t>Reference: 2024/1962</w:t>
      </w:r>
    </w:p>
    <w:p w14:paraId="3CCA6E93" w14:textId="77777777" w:rsidR="00E7028F" w:rsidRDefault="00E7028F" w:rsidP="00E7028F">
      <w:pPr>
        <w:pStyle w:val="GG-body"/>
        <w:pBdr>
          <w:top w:val="single" w:sz="4" w:space="1" w:color="auto"/>
        </w:pBdr>
        <w:spacing w:before="100" w:after="0" w:line="14" w:lineRule="exact"/>
        <w:jc w:val="center"/>
      </w:pPr>
    </w:p>
    <w:p w14:paraId="3D00D3A6" w14:textId="77777777" w:rsidR="00E7028F" w:rsidRPr="007D2F27" w:rsidRDefault="00E7028F" w:rsidP="00E7028F">
      <w:pPr>
        <w:pStyle w:val="NoSpacing"/>
      </w:pPr>
    </w:p>
    <w:p w14:paraId="47D56D26" w14:textId="77777777" w:rsidR="00E7028F" w:rsidRDefault="00E7028F" w:rsidP="00E7028F">
      <w:pPr>
        <w:pStyle w:val="GG-body"/>
      </w:pPr>
      <w:r>
        <w:t>[</w:t>
      </w:r>
      <w:r w:rsidRPr="00B16359">
        <w:rPr>
          <w:smallCaps/>
        </w:rPr>
        <w:t>Republished</w:t>
      </w:r>
      <w:r>
        <w:t>]</w:t>
      </w:r>
    </w:p>
    <w:p w14:paraId="61C9168E" w14:textId="77777777" w:rsidR="00E7028F" w:rsidRPr="008E7BFC" w:rsidRDefault="00E7028F" w:rsidP="00E7028F">
      <w:pPr>
        <w:pStyle w:val="GG-body"/>
      </w:pPr>
      <w:r w:rsidRPr="008E7BFC">
        <w:t xml:space="preserve">The </w:t>
      </w:r>
      <w:r>
        <w:t xml:space="preserve">following </w:t>
      </w:r>
      <w:r w:rsidRPr="008E7BFC">
        <w:t xml:space="preserve">notice published in the </w:t>
      </w:r>
      <w:r w:rsidRPr="008E7BFC">
        <w:rPr>
          <w:i/>
          <w:iCs/>
        </w:rPr>
        <w:t>South Australian Government Gazette</w:t>
      </w:r>
      <w:r w:rsidRPr="008E7BFC">
        <w:t xml:space="preserve"> No. </w:t>
      </w:r>
      <w:r>
        <w:t>11</w:t>
      </w:r>
      <w:r w:rsidRPr="008E7BFC">
        <w:t xml:space="preserve">, dated </w:t>
      </w:r>
      <w:r>
        <w:t>20</w:t>
      </w:r>
      <w:r w:rsidRPr="008E7BFC">
        <w:t xml:space="preserve"> </w:t>
      </w:r>
      <w:r>
        <w:t>February</w:t>
      </w:r>
      <w:r w:rsidRPr="008E7BFC">
        <w:t xml:space="preserve"> 20</w:t>
      </w:r>
      <w:r>
        <w:t>25</w:t>
      </w:r>
      <w:r w:rsidRPr="008E7BFC">
        <w:t xml:space="preserve">, on page </w:t>
      </w:r>
      <w:r>
        <w:t>214</w:t>
      </w:r>
      <w:r w:rsidRPr="008E7BFC">
        <w:t xml:space="preserve">, under the heading </w:t>
      </w:r>
      <w:r w:rsidRPr="00D56412">
        <w:rPr>
          <w:i/>
          <w:iCs/>
        </w:rPr>
        <w:t>Police Act 1998</w:t>
      </w:r>
      <w:r w:rsidRPr="008E7BFC">
        <w:t xml:space="preserve">, </w:t>
      </w:r>
      <w:r>
        <w:t xml:space="preserve">being the third notice on that page, </w:t>
      </w:r>
      <w:r w:rsidRPr="008E7BFC">
        <w:t>w</w:t>
      </w:r>
      <w:r>
        <w:t>as</w:t>
      </w:r>
      <w:r w:rsidRPr="008E7BFC">
        <w:t xml:space="preserve"> published with a</w:t>
      </w:r>
      <w:r>
        <w:t xml:space="preserve"> spelling</w:t>
      </w:r>
      <w:r w:rsidRPr="008E7BFC">
        <w:t xml:space="preserve"> error and should be replaced with the following:</w:t>
      </w:r>
    </w:p>
    <w:p w14:paraId="7A7337EC" w14:textId="77777777" w:rsidR="00E7028F" w:rsidRDefault="00E7028F" w:rsidP="00E7028F">
      <w:pPr>
        <w:pStyle w:val="GG-Title1"/>
      </w:pPr>
      <w:r>
        <w:t>Police Act 1998</w:t>
      </w:r>
    </w:p>
    <w:p w14:paraId="31355FFB" w14:textId="77777777" w:rsidR="00E7028F" w:rsidRDefault="00E7028F" w:rsidP="00E7028F">
      <w:pPr>
        <w:pStyle w:val="GG-Title3"/>
      </w:pPr>
      <w:r>
        <w:t>Authorisation to Conduct Urine Screening</w:t>
      </w:r>
    </w:p>
    <w:p w14:paraId="67AFF4C7" w14:textId="77777777" w:rsidR="00E7028F" w:rsidRDefault="00E7028F" w:rsidP="00836CCB">
      <w:pPr>
        <w:pStyle w:val="GG-body"/>
        <w:spacing w:after="60"/>
      </w:pPr>
      <w:r w:rsidRPr="00A11E02">
        <w:t>I, Grant Stevens, Commissioner of Police, do hereby notify that on and from 11 February 2025, the following persons were authorised by the Commissioner of Police to conduct urine screening as defined in and for the purposes of the:</w:t>
      </w:r>
    </w:p>
    <w:p w14:paraId="644E52E7" w14:textId="77777777" w:rsidR="00E7028F" w:rsidRDefault="00E7028F" w:rsidP="00836CCB">
      <w:pPr>
        <w:pStyle w:val="GG-body"/>
        <w:spacing w:after="0"/>
        <w:ind w:left="284" w:hanging="142"/>
      </w:pPr>
      <w:r>
        <w:t>•</w:t>
      </w:r>
      <w:r>
        <w:tab/>
      </w:r>
      <w:r w:rsidRPr="00B16359">
        <w:rPr>
          <w:i/>
          <w:iCs/>
        </w:rPr>
        <w:t>Police Act 1998</w:t>
      </w:r>
      <w:r>
        <w:t>; and</w:t>
      </w:r>
    </w:p>
    <w:p w14:paraId="2BCF553D" w14:textId="77777777" w:rsidR="00E7028F" w:rsidRDefault="00E7028F" w:rsidP="00836CCB">
      <w:pPr>
        <w:pStyle w:val="GG-body"/>
        <w:spacing w:after="60"/>
        <w:ind w:left="284" w:hanging="142"/>
      </w:pPr>
      <w:r>
        <w:t>•</w:t>
      </w:r>
      <w:r>
        <w:tab/>
      </w:r>
      <w:r w:rsidRPr="00B16359">
        <w:rPr>
          <w:i/>
          <w:iCs/>
        </w:rPr>
        <w:t>Police Regulations 2014</w:t>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1631"/>
      </w:tblGrid>
      <w:tr w:rsidR="00E7028F" w:rsidRPr="003E6088" w14:paraId="4100891C" w14:textId="77777777" w:rsidTr="000E227A">
        <w:trPr>
          <w:jc w:val="center"/>
        </w:trPr>
        <w:tc>
          <w:tcPr>
            <w:tcW w:w="1630" w:type="dxa"/>
            <w:tcBorders>
              <w:top w:val="single" w:sz="4" w:space="0" w:color="auto"/>
              <w:bottom w:val="single" w:sz="4" w:space="0" w:color="auto"/>
            </w:tcBorders>
            <w:vAlign w:val="center"/>
          </w:tcPr>
          <w:p w14:paraId="4C05DF86"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3E6088">
              <w:rPr>
                <w:b/>
                <w:bCs/>
              </w:rPr>
              <w:t>PD Number</w:t>
            </w:r>
          </w:p>
        </w:tc>
        <w:tc>
          <w:tcPr>
            <w:tcW w:w="1631" w:type="dxa"/>
            <w:tcBorders>
              <w:top w:val="single" w:sz="4" w:space="0" w:color="auto"/>
              <w:bottom w:val="single" w:sz="4" w:space="0" w:color="auto"/>
            </w:tcBorders>
            <w:vAlign w:val="center"/>
          </w:tcPr>
          <w:p w14:paraId="185CF3C5"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3E6088">
              <w:rPr>
                <w:b/>
                <w:bCs/>
              </w:rPr>
              <w:t>Officer Name</w:t>
            </w:r>
          </w:p>
        </w:tc>
      </w:tr>
      <w:tr w:rsidR="00E7028F" w:rsidRPr="003E6088" w14:paraId="1B5B3C5A" w14:textId="77777777" w:rsidTr="000E227A">
        <w:trPr>
          <w:jc w:val="center"/>
        </w:trPr>
        <w:tc>
          <w:tcPr>
            <w:tcW w:w="1630" w:type="dxa"/>
            <w:tcBorders>
              <w:top w:val="single" w:sz="4" w:space="0" w:color="auto"/>
            </w:tcBorders>
          </w:tcPr>
          <w:p w14:paraId="4C98C805"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center"/>
            </w:pPr>
            <w:r w:rsidRPr="006E4BC7">
              <w:t>73476</w:t>
            </w:r>
          </w:p>
        </w:tc>
        <w:tc>
          <w:tcPr>
            <w:tcW w:w="1631" w:type="dxa"/>
            <w:tcBorders>
              <w:top w:val="single" w:sz="4" w:space="0" w:color="auto"/>
            </w:tcBorders>
          </w:tcPr>
          <w:p w14:paraId="1C3E4149"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pPr>
            <w:r w:rsidRPr="002D507E">
              <w:t>Kylie Evans</w:t>
            </w:r>
          </w:p>
        </w:tc>
      </w:tr>
      <w:tr w:rsidR="00E7028F" w:rsidRPr="003E6088" w14:paraId="636E4C02" w14:textId="77777777" w:rsidTr="000E227A">
        <w:trPr>
          <w:jc w:val="center"/>
        </w:trPr>
        <w:tc>
          <w:tcPr>
            <w:tcW w:w="1630" w:type="dxa"/>
          </w:tcPr>
          <w:p w14:paraId="16271054"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6E4BC7">
              <w:t>76201</w:t>
            </w:r>
          </w:p>
        </w:tc>
        <w:tc>
          <w:tcPr>
            <w:tcW w:w="1631" w:type="dxa"/>
          </w:tcPr>
          <w:p w14:paraId="73AA32DD"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2D507E">
              <w:t xml:space="preserve">Nicholas </w:t>
            </w:r>
            <w:proofErr w:type="spellStart"/>
            <w:r w:rsidRPr="002D507E">
              <w:t>Gamtcheff</w:t>
            </w:r>
            <w:proofErr w:type="spellEnd"/>
          </w:p>
        </w:tc>
      </w:tr>
      <w:tr w:rsidR="00E7028F" w:rsidRPr="003E6088" w14:paraId="028CDB5B" w14:textId="77777777" w:rsidTr="000E227A">
        <w:trPr>
          <w:jc w:val="center"/>
        </w:trPr>
        <w:tc>
          <w:tcPr>
            <w:tcW w:w="1630" w:type="dxa"/>
          </w:tcPr>
          <w:p w14:paraId="1966CF28"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6E4BC7">
              <w:t>45575</w:t>
            </w:r>
          </w:p>
        </w:tc>
        <w:tc>
          <w:tcPr>
            <w:tcW w:w="1631" w:type="dxa"/>
          </w:tcPr>
          <w:p w14:paraId="1825F0A0"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2D507E">
              <w:t>Kathryn Hart</w:t>
            </w:r>
          </w:p>
        </w:tc>
      </w:tr>
      <w:tr w:rsidR="00E7028F" w:rsidRPr="003E6088" w14:paraId="6B0A9087" w14:textId="77777777" w:rsidTr="000E227A">
        <w:trPr>
          <w:jc w:val="center"/>
        </w:trPr>
        <w:tc>
          <w:tcPr>
            <w:tcW w:w="1630" w:type="dxa"/>
          </w:tcPr>
          <w:p w14:paraId="70C7F27F"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6E4BC7">
              <w:t>59893</w:t>
            </w:r>
          </w:p>
        </w:tc>
        <w:tc>
          <w:tcPr>
            <w:tcW w:w="1631" w:type="dxa"/>
          </w:tcPr>
          <w:p w14:paraId="41AED412"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2D507E">
              <w:t>Amanda Lipman</w:t>
            </w:r>
          </w:p>
        </w:tc>
      </w:tr>
      <w:tr w:rsidR="00E7028F" w:rsidRPr="003E6088" w14:paraId="40B975E7" w14:textId="77777777" w:rsidTr="000E227A">
        <w:trPr>
          <w:jc w:val="center"/>
        </w:trPr>
        <w:tc>
          <w:tcPr>
            <w:tcW w:w="1630" w:type="dxa"/>
          </w:tcPr>
          <w:p w14:paraId="0F576AA8"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6E4BC7">
              <w:t>42987</w:t>
            </w:r>
          </w:p>
        </w:tc>
        <w:tc>
          <w:tcPr>
            <w:tcW w:w="1631" w:type="dxa"/>
          </w:tcPr>
          <w:p w14:paraId="27A359D1"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2D507E">
              <w:t>Tania Sheldon</w:t>
            </w:r>
          </w:p>
        </w:tc>
      </w:tr>
      <w:tr w:rsidR="00E7028F" w:rsidRPr="003E6088" w14:paraId="79B87206" w14:textId="77777777" w:rsidTr="000E227A">
        <w:trPr>
          <w:jc w:val="center"/>
        </w:trPr>
        <w:tc>
          <w:tcPr>
            <w:tcW w:w="1630" w:type="dxa"/>
            <w:tcBorders>
              <w:bottom w:val="single" w:sz="4" w:space="0" w:color="auto"/>
            </w:tcBorders>
          </w:tcPr>
          <w:p w14:paraId="25ECE3A1" w14:textId="77777777" w:rsidR="00E7028F" w:rsidRPr="006E4BC7" w:rsidRDefault="00E7028F" w:rsidP="00836CCB">
            <w:pPr>
              <w:pStyle w:val="GG-body"/>
              <w:spacing w:after="0"/>
              <w:jc w:val="center"/>
            </w:pPr>
            <w:r w:rsidRPr="0058093D">
              <w:t>72154</w:t>
            </w:r>
          </w:p>
        </w:tc>
        <w:tc>
          <w:tcPr>
            <w:tcW w:w="1631" w:type="dxa"/>
            <w:tcBorders>
              <w:bottom w:val="single" w:sz="4" w:space="0" w:color="auto"/>
            </w:tcBorders>
          </w:tcPr>
          <w:p w14:paraId="0BE5609F" w14:textId="77777777" w:rsidR="00E7028F" w:rsidRPr="002D507E" w:rsidRDefault="00E7028F" w:rsidP="00836CCB">
            <w:pPr>
              <w:pStyle w:val="GG-body"/>
              <w:spacing w:after="0"/>
            </w:pPr>
            <w:r w:rsidRPr="0058093D">
              <w:t xml:space="preserve">Kylee Von </w:t>
            </w:r>
            <w:proofErr w:type="spellStart"/>
            <w:r w:rsidRPr="0058093D">
              <w:t>Ohle</w:t>
            </w:r>
            <w:proofErr w:type="spellEnd"/>
          </w:p>
        </w:tc>
      </w:tr>
      <w:tr w:rsidR="00E7028F" w:rsidRPr="003E6088" w14:paraId="15A8C4BC" w14:textId="77777777" w:rsidTr="000E227A">
        <w:trPr>
          <w:jc w:val="center"/>
        </w:trPr>
        <w:tc>
          <w:tcPr>
            <w:tcW w:w="1630" w:type="dxa"/>
            <w:tcBorders>
              <w:top w:val="single" w:sz="4" w:space="0" w:color="auto"/>
            </w:tcBorders>
          </w:tcPr>
          <w:p w14:paraId="33FB4E36"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631" w:type="dxa"/>
            <w:tcBorders>
              <w:top w:val="single" w:sz="4" w:space="0" w:color="auto"/>
            </w:tcBorders>
          </w:tcPr>
          <w:p w14:paraId="4AF4352C" w14:textId="77777777" w:rsidR="00E7028F" w:rsidRPr="003E6088" w:rsidRDefault="00E7028F" w:rsidP="000E227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06901B6B" w14:textId="77777777" w:rsidR="00E7028F" w:rsidRDefault="00E7028F" w:rsidP="00E7028F">
      <w:pPr>
        <w:pStyle w:val="GG-SDated"/>
      </w:pPr>
      <w:r>
        <w:t>Dated: 14 February 2025</w:t>
      </w:r>
    </w:p>
    <w:p w14:paraId="61789769" w14:textId="77777777" w:rsidR="00E7028F" w:rsidRDefault="00E7028F" w:rsidP="00E7028F">
      <w:pPr>
        <w:pStyle w:val="GG-SName"/>
      </w:pPr>
      <w:r>
        <w:t>Grant Stevens</w:t>
      </w:r>
    </w:p>
    <w:p w14:paraId="6A55722E" w14:textId="77777777" w:rsidR="00E7028F" w:rsidRDefault="00E7028F" w:rsidP="00E7028F">
      <w:pPr>
        <w:pStyle w:val="GG-Signature"/>
      </w:pPr>
      <w:r>
        <w:t>Commissioner of Police</w:t>
      </w:r>
    </w:p>
    <w:p w14:paraId="6B0A4326" w14:textId="77777777" w:rsidR="00E7028F" w:rsidRDefault="00E7028F" w:rsidP="00E7028F">
      <w:pPr>
        <w:pStyle w:val="GG-body"/>
        <w:spacing w:after="0"/>
      </w:pPr>
      <w:r>
        <w:t xml:space="preserve">Reference: </w:t>
      </w:r>
      <w:r w:rsidRPr="00A11E02">
        <w:t>2024/1962</w:t>
      </w:r>
    </w:p>
    <w:p w14:paraId="1D5D4CD5" w14:textId="77777777" w:rsidR="00E7028F" w:rsidRDefault="00E7028F" w:rsidP="00E7028F">
      <w:pPr>
        <w:pStyle w:val="GG-body"/>
        <w:pBdr>
          <w:bottom w:val="single" w:sz="4" w:space="1" w:color="auto"/>
        </w:pBdr>
        <w:spacing w:after="0" w:line="52" w:lineRule="exact"/>
        <w:jc w:val="center"/>
      </w:pPr>
    </w:p>
    <w:p w14:paraId="3F2D9E78" w14:textId="77777777" w:rsidR="00E7028F" w:rsidRDefault="00E7028F" w:rsidP="00E7028F">
      <w:pPr>
        <w:pStyle w:val="GG-body"/>
        <w:pBdr>
          <w:top w:val="single" w:sz="4" w:space="1" w:color="auto"/>
        </w:pBdr>
        <w:spacing w:before="34" w:after="0" w:line="14" w:lineRule="exact"/>
        <w:jc w:val="center"/>
      </w:pPr>
    </w:p>
    <w:p w14:paraId="33DE9D91" w14:textId="77777777" w:rsidR="00E7028F" w:rsidRDefault="00E7028F" w:rsidP="00E7028F">
      <w:pPr>
        <w:pStyle w:val="NoSpacing"/>
      </w:pPr>
    </w:p>
    <w:p w14:paraId="2034A22C" w14:textId="268773BB" w:rsidR="00E7028F" w:rsidRPr="00E7028F" w:rsidRDefault="007004B5" w:rsidP="007004B5">
      <w:pPr>
        <w:pStyle w:val="Heading2"/>
      </w:pPr>
      <w:bookmarkStart w:id="66" w:name="_Toc191542990"/>
      <w:r w:rsidRPr="00E7028F">
        <w:t>South Australian Housing Trust Act 1995</w:t>
      </w:r>
      <w:bookmarkEnd w:id="66"/>
    </w:p>
    <w:p w14:paraId="1E3E2FE1" w14:textId="77777777" w:rsidR="00E7028F" w:rsidRPr="00E7028F" w:rsidRDefault="00E7028F" w:rsidP="00E7028F">
      <w:pPr>
        <w:jc w:val="center"/>
        <w:rPr>
          <w:i/>
          <w:szCs w:val="17"/>
        </w:rPr>
      </w:pPr>
      <w:r w:rsidRPr="00E7028F">
        <w:rPr>
          <w:i/>
          <w:szCs w:val="17"/>
        </w:rPr>
        <w:t>Transfer of Assets of the South Australian Housing Trust</w:t>
      </w:r>
    </w:p>
    <w:p w14:paraId="52BF7F90" w14:textId="77777777" w:rsidR="00E7028F" w:rsidRPr="00E7028F" w:rsidRDefault="00E7028F" w:rsidP="00E7028F">
      <w:pPr>
        <w:rPr>
          <w:rFonts w:eastAsia="Times New Roman"/>
          <w:szCs w:val="17"/>
        </w:rPr>
      </w:pPr>
      <w:r w:rsidRPr="00E7028F">
        <w:rPr>
          <w:rFonts w:eastAsia="Times New Roman"/>
          <w:szCs w:val="17"/>
        </w:rPr>
        <w:t xml:space="preserve">Pursuant to the provisions of Section 23(1)(b)(ii) of the </w:t>
      </w:r>
      <w:r w:rsidRPr="00E7028F">
        <w:rPr>
          <w:rFonts w:eastAsia="Times New Roman"/>
          <w:i/>
          <w:iCs/>
          <w:szCs w:val="17"/>
        </w:rPr>
        <w:t>South Australian Housing Trust Act 1995</w:t>
      </w:r>
      <w:r w:rsidRPr="00E7028F">
        <w:rPr>
          <w:rFonts w:eastAsia="Times New Roman"/>
          <w:szCs w:val="17"/>
        </w:rPr>
        <w:t xml:space="preserve">, Nick Champion, Minister for Housing and Urban Renewal, with the concurrence of Stephen </w:t>
      </w:r>
      <w:proofErr w:type="spellStart"/>
      <w:r w:rsidRPr="00E7028F">
        <w:rPr>
          <w:rFonts w:eastAsia="Times New Roman"/>
          <w:szCs w:val="17"/>
        </w:rPr>
        <w:t>Mullighan</w:t>
      </w:r>
      <w:proofErr w:type="spellEnd"/>
      <w:r w:rsidRPr="00E7028F">
        <w:rPr>
          <w:rFonts w:eastAsia="Times New Roman"/>
          <w:szCs w:val="17"/>
        </w:rPr>
        <w:t>, Treasurer, gives notice of the transfer of properties listed in Schedule 1 from the South Australian Housing Trust to the Urban Renewal Authority on 31 January 2025.</w:t>
      </w:r>
    </w:p>
    <w:p w14:paraId="178D9354" w14:textId="77777777" w:rsidR="00E7028F" w:rsidRPr="00E7028F" w:rsidRDefault="00E7028F" w:rsidP="00E7028F">
      <w:pPr>
        <w:jc w:val="center"/>
        <w:rPr>
          <w:smallCaps/>
          <w:spacing w:val="-10"/>
          <w:szCs w:val="17"/>
          <w:lang w:eastAsia="en-AU"/>
        </w:rPr>
      </w:pPr>
      <w:r w:rsidRPr="00E7028F">
        <w:rPr>
          <w:smallCaps/>
          <w:szCs w:val="17"/>
          <w:lang w:eastAsia="en-AU"/>
        </w:rPr>
        <w:t>Schedule</w:t>
      </w:r>
      <w:r w:rsidRPr="00E7028F">
        <w:rPr>
          <w:smallCaps/>
          <w:spacing w:val="-12"/>
          <w:szCs w:val="17"/>
          <w:lang w:eastAsia="en-AU"/>
        </w:rPr>
        <w:t xml:space="preserve"> </w:t>
      </w:r>
      <w:r w:rsidRPr="00E7028F">
        <w:rPr>
          <w:smallCaps/>
          <w:spacing w:val="-10"/>
          <w:szCs w:val="17"/>
          <w:lang w:eastAsia="en-AU"/>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8"/>
        <w:gridCol w:w="1275"/>
        <w:gridCol w:w="1133"/>
        <w:gridCol w:w="1417"/>
        <w:gridCol w:w="1421"/>
      </w:tblGrid>
      <w:tr w:rsidR="00E7028F" w:rsidRPr="00E7028F" w14:paraId="70E6E63C" w14:textId="77777777" w:rsidTr="000E227A">
        <w:trPr>
          <w:tblHeader/>
        </w:trPr>
        <w:tc>
          <w:tcPr>
            <w:tcW w:w="4111" w:type="dxa"/>
            <w:vMerge w:val="restart"/>
            <w:tcBorders>
              <w:top w:val="single" w:sz="4" w:space="0" w:color="auto"/>
            </w:tcBorders>
            <w:vAlign w:val="center"/>
          </w:tcPr>
          <w:p w14:paraId="2D59B317" w14:textId="77777777" w:rsidR="00E7028F" w:rsidRPr="00E7028F" w:rsidRDefault="00E7028F" w:rsidP="00E7028F">
            <w:pPr>
              <w:spacing w:before="40" w:after="40"/>
              <w:jc w:val="center"/>
              <w:rPr>
                <w:b/>
                <w:bCs/>
                <w:szCs w:val="17"/>
              </w:rPr>
            </w:pPr>
            <w:r w:rsidRPr="00E7028F">
              <w:rPr>
                <w:b/>
                <w:bCs/>
                <w:szCs w:val="17"/>
              </w:rPr>
              <w:t>Address</w:t>
            </w:r>
          </w:p>
        </w:tc>
        <w:tc>
          <w:tcPr>
            <w:tcW w:w="2410" w:type="dxa"/>
            <w:gridSpan w:val="2"/>
            <w:tcBorders>
              <w:top w:val="single" w:sz="4" w:space="0" w:color="auto"/>
            </w:tcBorders>
            <w:vAlign w:val="center"/>
          </w:tcPr>
          <w:p w14:paraId="65384E52" w14:textId="77777777" w:rsidR="00E7028F" w:rsidRPr="00E7028F" w:rsidRDefault="00E7028F" w:rsidP="00E7028F">
            <w:pPr>
              <w:spacing w:before="40" w:after="40"/>
              <w:jc w:val="center"/>
              <w:rPr>
                <w:b/>
                <w:bCs/>
                <w:szCs w:val="17"/>
              </w:rPr>
            </w:pPr>
            <w:r w:rsidRPr="00E7028F">
              <w:rPr>
                <w:b/>
                <w:bCs/>
                <w:szCs w:val="17"/>
              </w:rPr>
              <w:t>Certificate of Title</w:t>
            </w:r>
          </w:p>
        </w:tc>
        <w:tc>
          <w:tcPr>
            <w:tcW w:w="2839" w:type="dxa"/>
            <w:gridSpan w:val="2"/>
            <w:tcBorders>
              <w:top w:val="single" w:sz="4" w:space="0" w:color="auto"/>
            </w:tcBorders>
            <w:vAlign w:val="center"/>
          </w:tcPr>
          <w:p w14:paraId="3C219F3E" w14:textId="77777777" w:rsidR="00E7028F" w:rsidRPr="00E7028F" w:rsidRDefault="00E7028F" w:rsidP="00E7028F">
            <w:pPr>
              <w:spacing w:before="40" w:after="40"/>
              <w:jc w:val="center"/>
              <w:rPr>
                <w:b/>
                <w:bCs/>
                <w:szCs w:val="17"/>
              </w:rPr>
            </w:pPr>
            <w:r w:rsidRPr="00E7028F">
              <w:rPr>
                <w:b/>
                <w:bCs/>
                <w:szCs w:val="17"/>
              </w:rPr>
              <w:t>Certificate of Title Description</w:t>
            </w:r>
          </w:p>
        </w:tc>
      </w:tr>
      <w:tr w:rsidR="00E7028F" w:rsidRPr="00E7028F" w14:paraId="4AA29929" w14:textId="77777777" w:rsidTr="000E227A">
        <w:trPr>
          <w:tblHeader/>
        </w:trPr>
        <w:tc>
          <w:tcPr>
            <w:tcW w:w="4111" w:type="dxa"/>
            <w:vMerge/>
            <w:tcBorders>
              <w:bottom w:val="single" w:sz="4" w:space="0" w:color="auto"/>
            </w:tcBorders>
          </w:tcPr>
          <w:p w14:paraId="651B8E65" w14:textId="77777777" w:rsidR="00E7028F" w:rsidRPr="00E7028F" w:rsidRDefault="00E7028F" w:rsidP="00E7028F">
            <w:pPr>
              <w:rPr>
                <w:szCs w:val="17"/>
              </w:rPr>
            </w:pPr>
          </w:p>
        </w:tc>
        <w:tc>
          <w:tcPr>
            <w:tcW w:w="1276" w:type="dxa"/>
            <w:tcBorders>
              <w:bottom w:val="single" w:sz="4" w:space="0" w:color="auto"/>
            </w:tcBorders>
          </w:tcPr>
          <w:p w14:paraId="6D32A99B" w14:textId="77777777" w:rsidR="00E7028F" w:rsidRPr="00E7028F" w:rsidRDefault="00E7028F" w:rsidP="00836CCB">
            <w:pPr>
              <w:spacing w:after="40"/>
              <w:jc w:val="center"/>
              <w:rPr>
                <w:b/>
                <w:bCs/>
                <w:szCs w:val="17"/>
              </w:rPr>
            </w:pPr>
            <w:r w:rsidRPr="00E7028F">
              <w:rPr>
                <w:b/>
                <w:bCs/>
                <w:szCs w:val="17"/>
              </w:rPr>
              <w:t>Volume</w:t>
            </w:r>
          </w:p>
        </w:tc>
        <w:tc>
          <w:tcPr>
            <w:tcW w:w="1134" w:type="dxa"/>
            <w:tcBorders>
              <w:bottom w:val="single" w:sz="4" w:space="0" w:color="auto"/>
            </w:tcBorders>
          </w:tcPr>
          <w:p w14:paraId="4BA1953F" w14:textId="77777777" w:rsidR="00E7028F" w:rsidRPr="00E7028F" w:rsidRDefault="00E7028F" w:rsidP="00836CCB">
            <w:pPr>
              <w:spacing w:after="40"/>
              <w:jc w:val="center"/>
              <w:rPr>
                <w:b/>
                <w:bCs/>
                <w:szCs w:val="17"/>
              </w:rPr>
            </w:pPr>
            <w:r w:rsidRPr="00E7028F">
              <w:rPr>
                <w:b/>
                <w:bCs/>
                <w:szCs w:val="17"/>
              </w:rPr>
              <w:t>Folio</w:t>
            </w:r>
          </w:p>
        </w:tc>
        <w:tc>
          <w:tcPr>
            <w:tcW w:w="1417" w:type="dxa"/>
            <w:tcBorders>
              <w:bottom w:val="single" w:sz="4" w:space="0" w:color="auto"/>
            </w:tcBorders>
          </w:tcPr>
          <w:p w14:paraId="10E76822" w14:textId="77777777" w:rsidR="00E7028F" w:rsidRPr="00E7028F" w:rsidRDefault="00E7028F" w:rsidP="00836CCB">
            <w:pPr>
              <w:spacing w:after="40"/>
              <w:jc w:val="center"/>
              <w:rPr>
                <w:b/>
                <w:bCs/>
                <w:szCs w:val="17"/>
              </w:rPr>
            </w:pPr>
            <w:r w:rsidRPr="00E7028F">
              <w:rPr>
                <w:b/>
                <w:bCs/>
                <w:szCs w:val="17"/>
              </w:rPr>
              <w:t>Plan</w:t>
            </w:r>
          </w:p>
        </w:tc>
        <w:tc>
          <w:tcPr>
            <w:tcW w:w="1422" w:type="dxa"/>
            <w:tcBorders>
              <w:bottom w:val="single" w:sz="4" w:space="0" w:color="auto"/>
            </w:tcBorders>
          </w:tcPr>
          <w:p w14:paraId="18929674" w14:textId="77777777" w:rsidR="00E7028F" w:rsidRPr="00E7028F" w:rsidRDefault="00E7028F" w:rsidP="00836CCB">
            <w:pPr>
              <w:spacing w:after="40"/>
              <w:jc w:val="center"/>
              <w:rPr>
                <w:b/>
                <w:bCs/>
                <w:szCs w:val="17"/>
              </w:rPr>
            </w:pPr>
            <w:r w:rsidRPr="00E7028F">
              <w:rPr>
                <w:b/>
                <w:bCs/>
                <w:szCs w:val="17"/>
              </w:rPr>
              <w:t>Parcel</w:t>
            </w:r>
          </w:p>
        </w:tc>
      </w:tr>
      <w:tr w:rsidR="00E7028F" w:rsidRPr="00E7028F" w14:paraId="3AB95E1B" w14:textId="77777777" w:rsidTr="000E227A">
        <w:trPr>
          <w:tblHeader/>
        </w:trPr>
        <w:tc>
          <w:tcPr>
            <w:tcW w:w="4111" w:type="dxa"/>
            <w:tcBorders>
              <w:top w:val="single" w:sz="4" w:space="0" w:color="auto"/>
            </w:tcBorders>
          </w:tcPr>
          <w:p w14:paraId="5ADA9C80" w14:textId="77777777" w:rsidR="00E7028F" w:rsidRPr="00E7028F" w:rsidRDefault="00E7028F" w:rsidP="00E7028F">
            <w:pPr>
              <w:spacing w:after="0" w:line="40" w:lineRule="exact"/>
              <w:rPr>
                <w:szCs w:val="17"/>
              </w:rPr>
            </w:pPr>
          </w:p>
        </w:tc>
        <w:tc>
          <w:tcPr>
            <w:tcW w:w="1276" w:type="dxa"/>
            <w:tcBorders>
              <w:top w:val="single" w:sz="4" w:space="0" w:color="auto"/>
            </w:tcBorders>
          </w:tcPr>
          <w:p w14:paraId="0FB2B5D7" w14:textId="77777777" w:rsidR="00E7028F" w:rsidRPr="00E7028F" w:rsidRDefault="00E7028F" w:rsidP="00E7028F">
            <w:pPr>
              <w:spacing w:after="0" w:line="40" w:lineRule="exact"/>
              <w:jc w:val="center"/>
              <w:rPr>
                <w:szCs w:val="17"/>
              </w:rPr>
            </w:pPr>
          </w:p>
        </w:tc>
        <w:tc>
          <w:tcPr>
            <w:tcW w:w="1134" w:type="dxa"/>
            <w:tcBorders>
              <w:top w:val="single" w:sz="4" w:space="0" w:color="auto"/>
            </w:tcBorders>
            <w:tcMar>
              <w:left w:w="0" w:type="dxa"/>
              <w:right w:w="0" w:type="dxa"/>
            </w:tcMar>
          </w:tcPr>
          <w:p w14:paraId="55F6BCB1" w14:textId="77777777" w:rsidR="00E7028F" w:rsidRPr="00E7028F" w:rsidRDefault="00E7028F" w:rsidP="00E7028F">
            <w:pPr>
              <w:spacing w:after="0" w:line="40" w:lineRule="exact"/>
              <w:ind w:left="426"/>
            </w:pPr>
          </w:p>
        </w:tc>
        <w:tc>
          <w:tcPr>
            <w:tcW w:w="1417" w:type="dxa"/>
            <w:tcBorders>
              <w:top w:val="single" w:sz="4" w:space="0" w:color="auto"/>
            </w:tcBorders>
          </w:tcPr>
          <w:p w14:paraId="75B1A5FE" w14:textId="77777777" w:rsidR="00E7028F" w:rsidRPr="00E7028F" w:rsidRDefault="00E7028F" w:rsidP="00E7028F">
            <w:pPr>
              <w:spacing w:after="0" w:line="40" w:lineRule="exact"/>
              <w:ind w:left="321"/>
              <w:jc w:val="left"/>
              <w:rPr>
                <w:szCs w:val="17"/>
              </w:rPr>
            </w:pPr>
          </w:p>
        </w:tc>
        <w:tc>
          <w:tcPr>
            <w:tcW w:w="1422" w:type="dxa"/>
            <w:tcBorders>
              <w:top w:val="single" w:sz="4" w:space="0" w:color="auto"/>
            </w:tcBorders>
          </w:tcPr>
          <w:p w14:paraId="3B39FD5B" w14:textId="77777777" w:rsidR="00E7028F" w:rsidRPr="00E7028F" w:rsidRDefault="00E7028F" w:rsidP="00E7028F">
            <w:pPr>
              <w:spacing w:after="0" w:line="40" w:lineRule="exact"/>
              <w:ind w:left="319"/>
              <w:jc w:val="left"/>
              <w:rPr>
                <w:szCs w:val="17"/>
              </w:rPr>
            </w:pPr>
          </w:p>
        </w:tc>
      </w:tr>
      <w:tr w:rsidR="00E7028F" w:rsidRPr="00E7028F" w14:paraId="46151BD8" w14:textId="77777777" w:rsidTr="000E227A">
        <w:tc>
          <w:tcPr>
            <w:tcW w:w="4111" w:type="dxa"/>
          </w:tcPr>
          <w:p w14:paraId="745C07AC" w14:textId="77777777" w:rsidR="00E7028F" w:rsidRPr="00E7028F" w:rsidRDefault="00E7028F" w:rsidP="00E7028F">
            <w:pPr>
              <w:spacing w:after="0"/>
              <w:rPr>
                <w:szCs w:val="17"/>
              </w:rPr>
            </w:pPr>
            <w:r w:rsidRPr="00E7028F">
              <w:rPr>
                <w:szCs w:val="17"/>
              </w:rPr>
              <w:t>35 Parker Ave, Seaton</w:t>
            </w:r>
          </w:p>
        </w:tc>
        <w:tc>
          <w:tcPr>
            <w:tcW w:w="1276" w:type="dxa"/>
          </w:tcPr>
          <w:p w14:paraId="099F57D6" w14:textId="77777777" w:rsidR="00E7028F" w:rsidRPr="00E7028F" w:rsidRDefault="00E7028F" w:rsidP="00E7028F">
            <w:pPr>
              <w:spacing w:after="0"/>
              <w:jc w:val="center"/>
              <w:rPr>
                <w:szCs w:val="17"/>
              </w:rPr>
            </w:pPr>
            <w:r w:rsidRPr="00E7028F">
              <w:rPr>
                <w:szCs w:val="17"/>
              </w:rPr>
              <w:t>CT5443</w:t>
            </w:r>
          </w:p>
        </w:tc>
        <w:tc>
          <w:tcPr>
            <w:tcW w:w="1134" w:type="dxa"/>
            <w:tcMar>
              <w:left w:w="0" w:type="dxa"/>
              <w:right w:w="0" w:type="dxa"/>
            </w:tcMar>
          </w:tcPr>
          <w:p w14:paraId="40F95414" w14:textId="77777777" w:rsidR="00E7028F" w:rsidRPr="00E7028F" w:rsidRDefault="00E7028F" w:rsidP="00E7028F">
            <w:pPr>
              <w:spacing w:after="0"/>
              <w:ind w:left="426"/>
            </w:pPr>
            <w:r w:rsidRPr="00E7028F">
              <w:t>343</w:t>
            </w:r>
          </w:p>
        </w:tc>
        <w:tc>
          <w:tcPr>
            <w:tcW w:w="1417" w:type="dxa"/>
          </w:tcPr>
          <w:p w14:paraId="381B6AF8" w14:textId="77777777" w:rsidR="00E7028F" w:rsidRPr="00E7028F" w:rsidRDefault="00E7028F" w:rsidP="00E7028F">
            <w:pPr>
              <w:spacing w:after="0"/>
              <w:ind w:left="321"/>
              <w:jc w:val="left"/>
              <w:rPr>
                <w:szCs w:val="17"/>
              </w:rPr>
            </w:pPr>
            <w:r w:rsidRPr="00E7028F">
              <w:rPr>
                <w:szCs w:val="17"/>
              </w:rPr>
              <w:t>F26636</w:t>
            </w:r>
          </w:p>
        </w:tc>
        <w:tc>
          <w:tcPr>
            <w:tcW w:w="1422" w:type="dxa"/>
          </w:tcPr>
          <w:p w14:paraId="0EE36E8F" w14:textId="77777777" w:rsidR="00E7028F" w:rsidRPr="00E7028F" w:rsidRDefault="00E7028F" w:rsidP="00E7028F">
            <w:pPr>
              <w:spacing w:after="0"/>
              <w:ind w:left="319"/>
              <w:jc w:val="left"/>
              <w:rPr>
                <w:szCs w:val="17"/>
              </w:rPr>
            </w:pPr>
            <w:r w:rsidRPr="00E7028F">
              <w:rPr>
                <w:szCs w:val="17"/>
              </w:rPr>
              <w:t>A2</w:t>
            </w:r>
          </w:p>
        </w:tc>
      </w:tr>
      <w:tr w:rsidR="00E7028F" w:rsidRPr="00E7028F" w14:paraId="7A9A94E4" w14:textId="77777777" w:rsidTr="000E227A">
        <w:tc>
          <w:tcPr>
            <w:tcW w:w="4111" w:type="dxa"/>
          </w:tcPr>
          <w:p w14:paraId="32DA1AA4" w14:textId="77777777" w:rsidR="00E7028F" w:rsidRPr="00E7028F" w:rsidRDefault="00E7028F" w:rsidP="00E7028F">
            <w:pPr>
              <w:spacing w:after="0"/>
              <w:rPr>
                <w:szCs w:val="17"/>
              </w:rPr>
            </w:pPr>
            <w:r w:rsidRPr="00E7028F">
              <w:rPr>
                <w:szCs w:val="17"/>
              </w:rPr>
              <w:t>33 Parker Ave, Seaton</w:t>
            </w:r>
          </w:p>
        </w:tc>
        <w:tc>
          <w:tcPr>
            <w:tcW w:w="1276" w:type="dxa"/>
          </w:tcPr>
          <w:p w14:paraId="743CD201" w14:textId="77777777" w:rsidR="00E7028F" w:rsidRPr="00E7028F" w:rsidRDefault="00E7028F" w:rsidP="00E7028F">
            <w:pPr>
              <w:spacing w:after="0"/>
              <w:jc w:val="center"/>
              <w:rPr>
                <w:szCs w:val="17"/>
              </w:rPr>
            </w:pPr>
            <w:r w:rsidRPr="00E7028F">
              <w:rPr>
                <w:szCs w:val="17"/>
              </w:rPr>
              <w:t>CT5431</w:t>
            </w:r>
          </w:p>
        </w:tc>
        <w:tc>
          <w:tcPr>
            <w:tcW w:w="1134" w:type="dxa"/>
            <w:tcMar>
              <w:left w:w="0" w:type="dxa"/>
              <w:right w:w="0" w:type="dxa"/>
            </w:tcMar>
          </w:tcPr>
          <w:p w14:paraId="5C5154B1" w14:textId="77777777" w:rsidR="00E7028F" w:rsidRPr="00E7028F" w:rsidRDefault="00E7028F" w:rsidP="00E7028F">
            <w:pPr>
              <w:spacing w:after="0"/>
              <w:ind w:left="426"/>
            </w:pPr>
            <w:r w:rsidRPr="00E7028F">
              <w:t>878</w:t>
            </w:r>
          </w:p>
        </w:tc>
        <w:tc>
          <w:tcPr>
            <w:tcW w:w="1417" w:type="dxa"/>
          </w:tcPr>
          <w:p w14:paraId="372AEC88" w14:textId="77777777" w:rsidR="00E7028F" w:rsidRPr="00E7028F" w:rsidRDefault="00E7028F" w:rsidP="00E7028F">
            <w:pPr>
              <w:spacing w:after="0"/>
              <w:ind w:left="321"/>
              <w:jc w:val="left"/>
              <w:rPr>
                <w:szCs w:val="17"/>
              </w:rPr>
            </w:pPr>
            <w:r w:rsidRPr="00E7028F">
              <w:rPr>
                <w:szCs w:val="17"/>
              </w:rPr>
              <w:t>F26636</w:t>
            </w:r>
          </w:p>
        </w:tc>
        <w:tc>
          <w:tcPr>
            <w:tcW w:w="1422" w:type="dxa"/>
          </w:tcPr>
          <w:p w14:paraId="04C0FC45" w14:textId="77777777" w:rsidR="00E7028F" w:rsidRPr="00E7028F" w:rsidRDefault="00E7028F" w:rsidP="00E7028F">
            <w:pPr>
              <w:spacing w:after="0"/>
              <w:ind w:left="319"/>
              <w:jc w:val="left"/>
              <w:rPr>
                <w:szCs w:val="17"/>
              </w:rPr>
            </w:pPr>
            <w:r w:rsidRPr="00E7028F">
              <w:rPr>
                <w:szCs w:val="17"/>
              </w:rPr>
              <w:t>A1</w:t>
            </w:r>
          </w:p>
        </w:tc>
      </w:tr>
      <w:tr w:rsidR="00E7028F" w:rsidRPr="00E7028F" w14:paraId="25AB286C" w14:textId="77777777" w:rsidTr="000E227A">
        <w:tc>
          <w:tcPr>
            <w:tcW w:w="4111" w:type="dxa"/>
          </w:tcPr>
          <w:p w14:paraId="174EE704" w14:textId="77777777" w:rsidR="00E7028F" w:rsidRPr="00E7028F" w:rsidRDefault="00E7028F" w:rsidP="00E7028F">
            <w:pPr>
              <w:spacing w:after="0"/>
              <w:rPr>
                <w:szCs w:val="17"/>
              </w:rPr>
            </w:pPr>
            <w:r w:rsidRPr="00E7028F">
              <w:rPr>
                <w:szCs w:val="17"/>
              </w:rPr>
              <w:t>78 Matthews Ave, Seaton</w:t>
            </w:r>
          </w:p>
        </w:tc>
        <w:tc>
          <w:tcPr>
            <w:tcW w:w="1276" w:type="dxa"/>
          </w:tcPr>
          <w:p w14:paraId="4901456A" w14:textId="77777777" w:rsidR="00E7028F" w:rsidRPr="00E7028F" w:rsidRDefault="00E7028F" w:rsidP="00E7028F">
            <w:pPr>
              <w:spacing w:after="0"/>
              <w:jc w:val="center"/>
              <w:rPr>
                <w:szCs w:val="17"/>
              </w:rPr>
            </w:pPr>
            <w:r w:rsidRPr="00E7028F">
              <w:rPr>
                <w:szCs w:val="17"/>
              </w:rPr>
              <w:t>CT5404</w:t>
            </w:r>
          </w:p>
        </w:tc>
        <w:tc>
          <w:tcPr>
            <w:tcW w:w="1134" w:type="dxa"/>
            <w:tcMar>
              <w:left w:w="0" w:type="dxa"/>
              <w:right w:w="0" w:type="dxa"/>
            </w:tcMar>
          </w:tcPr>
          <w:p w14:paraId="50D0DFDA" w14:textId="77777777" w:rsidR="00E7028F" w:rsidRPr="00E7028F" w:rsidRDefault="00E7028F" w:rsidP="00E7028F">
            <w:pPr>
              <w:spacing w:after="0"/>
              <w:ind w:left="426"/>
            </w:pPr>
            <w:r w:rsidRPr="00E7028F">
              <w:t>498</w:t>
            </w:r>
          </w:p>
        </w:tc>
        <w:tc>
          <w:tcPr>
            <w:tcW w:w="1417" w:type="dxa"/>
          </w:tcPr>
          <w:p w14:paraId="7828A10F" w14:textId="77777777" w:rsidR="00E7028F" w:rsidRPr="00E7028F" w:rsidRDefault="00E7028F" w:rsidP="00E7028F">
            <w:pPr>
              <w:spacing w:after="0"/>
              <w:ind w:left="321"/>
              <w:jc w:val="left"/>
              <w:rPr>
                <w:szCs w:val="17"/>
              </w:rPr>
            </w:pPr>
            <w:r w:rsidRPr="00E7028F">
              <w:rPr>
                <w:szCs w:val="17"/>
              </w:rPr>
              <w:t>F28334</w:t>
            </w:r>
          </w:p>
        </w:tc>
        <w:tc>
          <w:tcPr>
            <w:tcW w:w="1422" w:type="dxa"/>
          </w:tcPr>
          <w:p w14:paraId="49B7A7BF" w14:textId="77777777" w:rsidR="00E7028F" w:rsidRPr="00E7028F" w:rsidRDefault="00E7028F" w:rsidP="00E7028F">
            <w:pPr>
              <w:spacing w:after="0"/>
              <w:ind w:left="319"/>
              <w:jc w:val="left"/>
              <w:rPr>
                <w:szCs w:val="17"/>
              </w:rPr>
            </w:pPr>
            <w:r w:rsidRPr="00E7028F">
              <w:rPr>
                <w:szCs w:val="17"/>
              </w:rPr>
              <w:t>A99</w:t>
            </w:r>
          </w:p>
        </w:tc>
      </w:tr>
      <w:tr w:rsidR="00E7028F" w:rsidRPr="00E7028F" w14:paraId="5DA4BA8F" w14:textId="77777777" w:rsidTr="000E227A">
        <w:tc>
          <w:tcPr>
            <w:tcW w:w="4111" w:type="dxa"/>
          </w:tcPr>
          <w:p w14:paraId="323A8F80" w14:textId="77777777" w:rsidR="00E7028F" w:rsidRPr="00E7028F" w:rsidRDefault="00E7028F" w:rsidP="00E7028F">
            <w:pPr>
              <w:spacing w:after="0"/>
              <w:rPr>
                <w:szCs w:val="17"/>
              </w:rPr>
            </w:pPr>
            <w:r w:rsidRPr="00E7028F">
              <w:rPr>
                <w:szCs w:val="17"/>
              </w:rPr>
              <w:t>76 Matthews Ave, Seaton</w:t>
            </w:r>
          </w:p>
        </w:tc>
        <w:tc>
          <w:tcPr>
            <w:tcW w:w="1276" w:type="dxa"/>
          </w:tcPr>
          <w:p w14:paraId="0B9FFA4B" w14:textId="77777777" w:rsidR="00E7028F" w:rsidRPr="00E7028F" w:rsidRDefault="00E7028F" w:rsidP="00E7028F">
            <w:pPr>
              <w:spacing w:after="0"/>
              <w:jc w:val="center"/>
              <w:rPr>
                <w:szCs w:val="17"/>
              </w:rPr>
            </w:pPr>
            <w:r w:rsidRPr="00E7028F">
              <w:rPr>
                <w:szCs w:val="17"/>
              </w:rPr>
              <w:t>CT5160</w:t>
            </w:r>
          </w:p>
        </w:tc>
        <w:tc>
          <w:tcPr>
            <w:tcW w:w="1134" w:type="dxa"/>
            <w:tcMar>
              <w:left w:w="0" w:type="dxa"/>
              <w:right w:w="0" w:type="dxa"/>
            </w:tcMar>
          </w:tcPr>
          <w:p w14:paraId="1351CC17" w14:textId="77777777" w:rsidR="00E7028F" w:rsidRPr="00E7028F" w:rsidRDefault="00E7028F" w:rsidP="00E7028F">
            <w:pPr>
              <w:spacing w:after="0"/>
              <w:ind w:left="426"/>
            </w:pPr>
            <w:r w:rsidRPr="00E7028F">
              <w:t>150</w:t>
            </w:r>
          </w:p>
        </w:tc>
        <w:tc>
          <w:tcPr>
            <w:tcW w:w="1417" w:type="dxa"/>
          </w:tcPr>
          <w:p w14:paraId="440F54B7" w14:textId="77777777" w:rsidR="00E7028F" w:rsidRPr="00E7028F" w:rsidRDefault="00E7028F" w:rsidP="00E7028F">
            <w:pPr>
              <w:spacing w:after="0"/>
              <w:ind w:left="321"/>
              <w:jc w:val="left"/>
              <w:rPr>
                <w:szCs w:val="17"/>
              </w:rPr>
            </w:pPr>
            <w:r w:rsidRPr="00E7028F">
              <w:rPr>
                <w:szCs w:val="17"/>
              </w:rPr>
              <w:t>F28334</w:t>
            </w:r>
          </w:p>
        </w:tc>
        <w:tc>
          <w:tcPr>
            <w:tcW w:w="1422" w:type="dxa"/>
          </w:tcPr>
          <w:p w14:paraId="1B31B977" w14:textId="77777777" w:rsidR="00E7028F" w:rsidRPr="00E7028F" w:rsidRDefault="00E7028F" w:rsidP="00E7028F">
            <w:pPr>
              <w:spacing w:after="0"/>
              <w:ind w:left="319"/>
              <w:jc w:val="left"/>
              <w:rPr>
                <w:szCs w:val="17"/>
              </w:rPr>
            </w:pPr>
            <w:r w:rsidRPr="00E7028F">
              <w:rPr>
                <w:szCs w:val="17"/>
              </w:rPr>
              <w:t>A100</w:t>
            </w:r>
          </w:p>
        </w:tc>
      </w:tr>
      <w:tr w:rsidR="00E7028F" w:rsidRPr="00E7028F" w14:paraId="213AEC38" w14:textId="77777777" w:rsidTr="000E227A">
        <w:tc>
          <w:tcPr>
            <w:tcW w:w="4111" w:type="dxa"/>
          </w:tcPr>
          <w:p w14:paraId="1395DFDC" w14:textId="77777777" w:rsidR="00E7028F" w:rsidRPr="00E7028F" w:rsidRDefault="00E7028F" w:rsidP="00E7028F">
            <w:pPr>
              <w:spacing w:after="0"/>
              <w:rPr>
                <w:szCs w:val="17"/>
              </w:rPr>
            </w:pPr>
            <w:r w:rsidRPr="00E7028F">
              <w:rPr>
                <w:szCs w:val="17"/>
              </w:rPr>
              <w:t>74 Matthews Ave, Seaton</w:t>
            </w:r>
          </w:p>
        </w:tc>
        <w:tc>
          <w:tcPr>
            <w:tcW w:w="1276" w:type="dxa"/>
          </w:tcPr>
          <w:p w14:paraId="77B9C194" w14:textId="77777777" w:rsidR="00E7028F" w:rsidRPr="00E7028F" w:rsidRDefault="00E7028F" w:rsidP="00E7028F">
            <w:pPr>
              <w:spacing w:after="0"/>
              <w:jc w:val="center"/>
              <w:rPr>
                <w:szCs w:val="17"/>
              </w:rPr>
            </w:pPr>
            <w:r w:rsidRPr="00E7028F">
              <w:rPr>
                <w:szCs w:val="17"/>
              </w:rPr>
              <w:t>CT5632</w:t>
            </w:r>
          </w:p>
        </w:tc>
        <w:tc>
          <w:tcPr>
            <w:tcW w:w="1134" w:type="dxa"/>
            <w:tcMar>
              <w:left w:w="0" w:type="dxa"/>
              <w:right w:w="0" w:type="dxa"/>
            </w:tcMar>
          </w:tcPr>
          <w:p w14:paraId="2C442F9F" w14:textId="77777777" w:rsidR="00E7028F" w:rsidRPr="00E7028F" w:rsidRDefault="00E7028F" w:rsidP="00E7028F">
            <w:pPr>
              <w:spacing w:after="0"/>
              <w:ind w:left="426"/>
            </w:pPr>
            <w:r w:rsidRPr="00E7028F">
              <w:t>998</w:t>
            </w:r>
          </w:p>
        </w:tc>
        <w:tc>
          <w:tcPr>
            <w:tcW w:w="1417" w:type="dxa"/>
          </w:tcPr>
          <w:p w14:paraId="4EE3AD1E" w14:textId="77777777" w:rsidR="00E7028F" w:rsidRPr="00E7028F" w:rsidRDefault="00E7028F" w:rsidP="00E7028F">
            <w:pPr>
              <w:spacing w:after="0"/>
              <w:ind w:left="321"/>
              <w:jc w:val="left"/>
              <w:rPr>
                <w:szCs w:val="17"/>
              </w:rPr>
            </w:pPr>
            <w:r w:rsidRPr="00E7028F">
              <w:rPr>
                <w:szCs w:val="17"/>
              </w:rPr>
              <w:t>F40391</w:t>
            </w:r>
          </w:p>
        </w:tc>
        <w:tc>
          <w:tcPr>
            <w:tcW w:w="1422" w:type="dxa"/>
          </w:tcPr>
          <w:p w14:paraId="0F75473F" w14:textId="77777777" w:rsidR="00E7028F" w:rsidRPr="00E7028F" w:rsidRDefault="00E7028F" w:rsidP="00E7028F">
            <w:pPr>
              <w:spacing w:after="0"/>
              <w:ind w:left="319"/>
              <w:jc w:val="left"/>
              <w:rPr>
                <w:szCs w:val="17"/>
              </w:rPr>
            </w:pPr>
            <w:r w:rsidRPr="00E7028F">
              <w:rPr>
                <w:szCs w:val="17"/>
              </w:rPr>
              <w:t>A5</w:t>
            </w:r>
          </w:p>
        </w:tc>
      </w:tr>
      <w:tr w:rsidR="00E7028F" w:rsidRPr="00E7028F" w14:paraId="1645C20C" w14:textId="77777777" w:rsidTr="000E227A">
        <w:tc>
          <w:tcPr>
            <w:tcW w:w="4111" w:type="dxa"/>
          </w:tcPr>
          <w:p w14:paraId="6C84D9E3" w14:textId="77777777" w:rsidR="00E7028F" w:rsidRPr="00E7028F" w:rsidRDefault="00E7028F" w:rsidP="00E7028F">
            <w:pPr>
              <w:spacing w:after="0"/>
              <w:rPr>
                <w:szCs w:val="17"/>
              </w:rPr>
            </w:pPr>
            <w:r w:rsidRPr="00E7028F">
              <w:rPr>
                <w:szCs w:val="17"/>
              </w:rPr>
              <w:t>72 Matthews Ave, Seaton</w:t>
            </w:r>
          </w:p>
        </w:tc>
        <w:tc>
          <w:tcPr>
            <w:tcW w:w="1276" w:type="dxa"/>
          </w:tcPr>
          <w:p w14:paraId="3FA7C67C" w14:textId="77777777" w:rsidR="00E7028F" w:rsidRPr="00E7028F" w:rsidRDefault="00E7028F" w:rsidP="00E7028F">
            <w:pPr>
              <w:spacing w:after="0"/>
              <w:jc w:val="center"/>
              <w:rPr>
                <w:szCs w:val="17"/>
              </w:rPr>
            </w:pPr>
            <w:r w:rsidRPr="00E7028F">
              <w:rPr>
                <w:szCs w:val="17"/>
              </w:rPr>
              <w:t>CT5632</w:t>
            </w:r>
          </w:p>
        </w:tc>
        <w:tc>
          <w:tcPr>
            <w:tcW w:w="1134" w:type="dxa"/>
            <w:tcMar>
              <w:left w:w="0" w:type="dxa"/>
              <w:right w:w="0" w:type="dxa"/>
            </w:tcMar>
          </w:tcPr>
          <w:p w14:paraId="227667FA" w14:textId="77777777" w:rsidR="00E7028F" w:rsidRPr="00E7028F" w:rsidRDefault="00E7028F" w:rsidP="00E7028F">
            <w:pPr>
              <w:spacing w:after="0"/>
              <w:ind w:left="426"/>
            </w:pPr>
            <w:r w:rsidRPr="00E7028F">
              <w:t>999</w:t>
            </w:r>
          </w:p>
        </w:tc>
        <w:tc>
          <w:tcPr>
            <w:tcW w:w="1417" w:type="dxa"/>
          </w:tcPr>
          <w:p w14:paraId="337FAEFF" w14:textId="77777777" w:rsidR="00E7028F" w:rsidRPr="00E7028F" w:rsidRDefault="00E7028F" w:rsidP="00E7028F">
            <w:pPr>
              <w:spacing w:after="0"/>
              <w:ind w:left="321"/>
              <w:jc w:val="left"/>
              <w:rPr>
                <w:szCs w:val="17"/>
              </w:rPr>
            </w:pPr>
            <w:r w:rsidRPr="00E7028F">
              <w:rPr>
                <w:szCs w:val="17"/>
              </w:rPr>
              <w:t>F40391</w:t>
            </w:r>
          </w:p>
        </w:tc>
        <w:tc>
          <w:tcPr>
            <w:tcW w:w="1422" w:type="dxa"/>
          </w:tcPr>
          <w:p w14:paraId="446949EC" w14:textId="77777777" w:rsidR="00E7028F" w:rsidRPr="00E7028F" w:rsidRDefault="00E7028F" w:rsidP="00E7028F">
            <w:pPr>
              <w:spacing w:after="0"/>
              <w:ind w:left="319"/>
              <w:jc w:val="left"/>
              <w:rPr>
                <w:szCs w:val="17"/>
              </w:rPr>
            </w:pPr>
            <w:r w:rsidRPr="00E7028F">
              <w:rPr>
                <w:szCs w:val="17"/>
              </w:rPr>
              <w:t>A6</w:t>
            </w:r>
          </w:p>
        </w:tc>
      </w:tr>
      <w:tr w:rsidR="00E7028F" w:rsidRPr="00E7028F" w14:paraId="3723C4E1" w14:textId="77777777" w:rsidTr="000E227A">
        <w:tc>
          <w:tcPr>
            <w:tcW w:w="4111" w:type="dxa"/>
          </w:tcPr>
          <w:p w14:paraId="0D31FBA3" w14:textId="77777777" w:rsidR="00E7028F" w:rsidRPr="00E7028F" w:rsidRDefault="00E7028F" w:rsidP="00E7028F">
            <w:pPr>
              <w:spacing w:after="0"/>
              <w:rPr>
                <w:szCs w:val="17"/>
              </w:rPr>
            </w:pPr>
            <w:r w:rsidRPr="00E7028F">
              <w:rPr>
                <w:szCs w:val="17"/>
              </w:rPr>
              <w:t>64 Matthews Ave, Seaton</w:t>
            </w:r>
          </w:p>
        </w:tc>
        <w:tc>
          <w:tcPr>
            <w:tcW w:w="1276" w:type="dxa"/>
          </w:tcPr>
          <w:p w14:paraId="518F554F" w14:textId="77777777" w:rsidR="00E7028F" w:rsidRPr="00E7028F" w:rsidRDefault="00E7028F" w:rsidP="00E7028F">
            <w:pPr>
              <w:spacing w:after="0"/>
              <w:jc w:val="center"/>
              <w:rPr>
                <w:szCs w:val="17"/>
              </w:rPr>
            </w:pPr>
            <w:r w:rsidRPr="00E7028F">
              <w:rPr>
                <w:szCs w:val="17"/>
              </w:rPr>
              <w:t>CT5484</w:t>
            </w:r>
          </w:p>
        </w:tc>
        <w:tc>
          <w:tcPr>
            <w:tcW w:w="1134" w:type="dxa"/>
            <w:tcMar>
              <w:left w:w="0" w:type="dxa"/>
              <w:right w:w="0" w:type="dxa"/>
            </w:tcMar>
          </w:tcPr>
          <w:p w14:paraId="02C8A147" w14:textId="77777777" w:rsidR="00E7028F" w:rsidRPr="00E7028F" w:rsidRDefault="00E7028F" w:rsidP="00E7028F">
            <w:pPr>
              <w:spacing w:after="0"/>
              <w:ind w:left="426"/>
            </w:pPr>
            <w:r w:rsidRPr="00E7028F">
              <w:t>481</w:t>
            </w:r>
          </w:p>
        </w:tc>
        <w:tc>
          <w:tcPr>
            <w:tcW w:w="1417" w:type="dxa"/>
          </w:tcPr>
          <w:p w14:paraId="65DFD1A5" w14:textId="77777777" w:rsidR="00E7028F" w:rsidRPr="00E7028F" w:rsidRDefault="00E7028F" w:rsidP="00E7028F">
            <w:pPr>
              <w:spacing w:after="0"/>
              <w:ind w:left="321"/>
              <w:jc w:val="left"/>
              <w:rPr>
                <w:szCs w:val="17"/>
              </w:rPr>
            </w:pPr>
            <w:r w:rsidRPr="00E7028F">
              <w:rPr>
                <w:szCs w:val="17"/>
              </w:rPr>
              <w:t>F133435</w:t>
            </w:r>
          </w:p>
        </w:tc>
        <w:tc>
          <w:tcPr>
            <w:tcW w:w="1422" w:type="dxa"/>
          </w:tcPr>
          <w:p w14:paraId="567A9144" w14:textId="77777777" w:rsidR="00E7028F" w:rsidRPr="00E7028F" w:rsidRDefault="00E7028F" w:rsidP="00E7028F">
            <w:pPr>
              <w:spacing w:after="0"/>
              <w:ind w:left="319"/>
              <w:jc w:val="left"/>
              <w:rPr>
                <w:szCs w:val="17"/>
              </w:rPr>
            </w:pPr>
            <w:r w:rsidRPr="00E7028F">
              <w:rPr>
                <w:szCs w:val="17"/>
              </w:rPr>
              <w:t>A2</w:t>
            </w:r>
          </w:p>
        </w:tc>
      </w:tr>
      <w:tr w:rsidR="00E7028F" w:rsidRPr="00E7028F" w14:paraId="4A61D084" w14:textId="77777777" w:rsidTr="000E227A">
        <w:tc>
          <w:tcPr>
            <w:tcW w:w="4111" w:type="dxa"/>
          </w:tcPr>
          <w:p w14:paraId="7244CA25" w14:textId="77777777" w:rsidR="00E7028F" w:rsidRPr="00E7028F" w:rsidRDefault="00E7028F" w:rsidP="00E7028F">
            <w:pPr>
              <w:spacing w:after="0"/>
              <w:rPr>
                <w:szCs w:val="17"/>
              </w:rPr>
            </w:pPr>
            <w:r w:rsidRPr="00E7028F">
              <w:rPr>
                <w:szCs w:val="17"/>
              </w:rPr>
              <w:t>27 Parker Ave, Seaton</w:t>
            </w:r>
          </w:p>
        </w:tc>
        <w:tc>
          <w:tcPr>
            <w:tcW w:w="1276" w:type="dxa"/>
          </w:tcPr>
          <w:p w14:paraId="540BE88C" w14:textId="77777777" w:rsidR="00E7028F" w:rsidRPr="00E7028F" w:rsidRDefault="00E7028F" w:rsidP="00E7028F">
            <w:pPr>
              <w:spacing w:after="0"/>
              <w:jc w:val="center"/>
              <w:rPr>
                <w:szCs w:val="17"/>
              </w:rPr>
            </w:pPr>
            <w:r w:rsidRPr="00E7028F">
              <w:rPr>
                <w:szCs w:val="17"/>
              </w:rPr>
              <w:t>CT5461</w:t>
            </w:r>
          </w:p>
        </w:tc>
        <w:tc>
          <w:tcPr>
            <w:tcW w:w="1134" w:type="dxa"/>
            <w:tcMar>
              <w:left w:w="0" w:type="dxa"/>
              <w:right w:w="0" w:type="dxa"/>
            </w:tcMar>
          </w:tcPr>
          <w:p w14:paraId="67E52D7B" w14:textId="77777777" w:rsidR="00E7028F" w:rsidRPr="00E7028F" w:rsidRDefault="00E7028F" w:rsidP="00E7028F">
            <w:pPr>
              <w:spacing w:after="0"/>
              <w:ind w:left="426"/>
            </w:pPr>
            <w:r w:rsidRPr="00E7028F">
              <w:t>559</w:t>
            </w:r>
          </w:p>
        </w:tc>
        <w:tc>
          <w:tcPr>
            <w:tcW w:w="1417" w:type="dxa"/>
          </w:tcPr>
          <w:p w14:paraId="5E0EB3BB" w14:textId="77777777" w:rsidR="00E7028F" w:rsidRPr="00E7028F" w:rsidRDefault="00E7028F" w:rsidP="00E7028F">
            <w:pPr>
              <w:spacing w:after="0"/>
              <w:ind w:left="321"/>
              <w:jc w:val="left"/>
              <w:rPr>
                <w:szCs w:val="17"/>
              </w:rPr>
            </w:pPr>
            <w:r w:rsidRPr="00E7028F">
              <w:rPr>
                <w:szCs w:val="17"/>
              </w:rPr>
              <w:t>D4581</w:t>
            </w:r>
          </w:p>
        </w:tc>
        <w:tc>
          <w:tcPr>
            <w:tcW w:w="1422" w:type="dxa"/>
          </w:tcPr>
          <w:p w14:paraId="7511E3EC" w14:textId="77777777" w:rsidR="00E7028F" w:rsidRPr="00E7028F" w:rsidRDefault="00E7028F" w:rsidP="00E7028F">
            <w:pPr>
              <w:spacing w:after="0"/>
              <w:ind w:left="319"/>
              <w:jc w:val="left"/>
              <w:rPr>
                <w:szCs w:val="17"/>
              </w:rPr>
            </w:pPr>
            <w:r w:rsidRPr="00E7028F">
              <w:rPr>
                <w:szCs w:val="17"/>
              </w:rPr>
              <w:t>A244</w:t>
            </w:r>
          </w:p>
        </w:tc>
      </w:tr>
      <w:tr w:rsidR="00E7028F" w:rsidRPr="00E7028F" w14:paraId="6F4B8A91" w14:textId="77777777" w:rsidTr="000E227A">
        <w:tc>
          <w:tcPr>
            <w:tcW w:w="4111" w:type="dxa"/>
          </w:tcPr>
          <w:p w14:paraId="2589347E" w14:textId="77777777" w:rsidR="00E7028F" w:rsidRPr="00E7028F" w:rsidRDefault="00E7028F" w:rsidP="00E7028F">
            <w:pPr>
              <w:spacing w:after="0"/>
              <w:rPr>
                <w:szCs w:val="17"/>
              </w:rPr>
            </w:pPr>
            <w:r w:rsidRPr="00E7028F">
              <w:rPr>
                <w:szCs w:val="17"/>
              </w:rPr>
              <w:t>34 Parker Ave, Seaton</w:t>
            </w:r>
          </w:p>
        </w:tc>
        <w:tc>
          <w:tcPr>
            <w:tcW w:w="1276" w:type="dxa"/>
          </w:tcPr>
          <w:p w14:paraId="1BAF85C4"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37AB6853" w14:textId="77777777" w:rsidR="00E7028F" w:rsidRPr="00E7028F" w:rsidRDefault="00E7028F" w:rsidP="00E7028F">
            <w:pPr>
              <w:spacing w:after="0"/>
              <w:ind w:left="426"/>
            </w:pPr>
            <w:r w:rsidRPr="00E7028F">
              <w:t>347</w:t>
            </w:r>
          </w:p>
        </w:tc>
        <w:tc>
          <w:tcPr>
            <w:tcW w:w="1417" w:type="dxa"/>
          </w:tcPr>
          <w:p w14:paraId="45CE13DD" w14:textId="77777777" w:rsidR="00E7028F" w:rsidRPr="00E7028F" w:rsidRDefault="00E7028F" w:rsidP="00E7028F">
            <w:pPr>
              <w:spacing w:after="0"/>
              <w:ind w:left="321"/>
              <w:jc w:val="left"/>
              <w:rPr>
                <w:szCs w:val="17"/>
              </w:rPr>
            </w:pPr>
            <w:r w:rsidRPr="00E7028F">
              <w:rPr>
                <w:szCs w:val="17"/>
              </w:rPr>
              <w:t>F41369</w:t>
            </w:r>
          </w:p>
        </w:tc>
        <w:tc>
          <w:tcPr>
            <w:tcW w:w="1422" w:type="dxa"/>
          </w:tcPr>
          <w:p w14:paraId="0DDCEBB7" w14:textId="77777777" w:rsidR="00E7028F" w:rsidRPr="00E7028F" w:rsidRDefault="00E7028F" w:rsidP="00E7028F">
            <w:pPr>
              <w:spacing w:after="0"/>
              <w:ind w:left="319"/>
              <w:jc w:val="left"/>
              <w:rPr>
                <w:szCs w:val="17"/>
              </w:rPr>
            </w:pPr>
            <w:r w:rsidRPr="00E7028F">
              <w:rPr>
                <w:szCs w:val="17"/>
              </w:rPr>
              <w:t>A8</w:t>
            </w:r>
          </w:p>
        </w:tc>
      </w:tr>
      <w:tr w:rsidR="00E7028F" w:rsidRPr="00E7028F" w14:paraId="1ED3AD7C" w14:textId="77777777" w:rsidTr="000E227A">
        <w:tc>
          <w:tcPr>
            <w:tcW w:w="4111" w:type="dxa"/>
          </w:tcPr>
          <w:p w14:paraId="400FDAA1" w14:textId="77777777" w:rsidR="00E7028F" w:rsidRPr="00E7028F" w:rsidRDefault="00E7028F" w:rsidP="00E7028F">
            <w:pPr>
              <w:spacing w:after="0"/>
              <w:rPr>
                <w:szCs w:val="17"/>
              </w:rPr>
            </w:pPr>
            <w:r w:rsidRPr="00E7028F">
              <w:rPr>
                <w:szCs w:val="17"/>
              </w:rPr>
              <w:t>28 Parker Ave, Seaton</w:t>
            </w:r>
          </w:p>
        </w:tc>
        <w:tc>
          <w:tcPr>
            <w:tcW w:w="1276" w:type="dxa"/>
          </w:tcPr>
          <w:p w14:paraId="3B43395E" w14:textId="77777777" w:rsidR="00E7028F" w:rsidRPr="00E7028F" w:rsidRDefault="00E7028F" w:rsidP="00E7028F">
            <w:pPr>
              <w:spacing w:after="0"/>
              <w:jc w:val="center"/>
              <w:rPr>
                <w:szCs w:val="17"/>
              </w:rPr>
            </w:pPr>
            <w:r w:rsidRPr="00E7028F">
              <w:rPr>
                <w:szCs w:val="17"/>
              </w:rPr>
              <w:t>CT5679</w:t>
            </w:r>
          </w:p>
        </w:tc>
        <w:tc>
          <w:tcPr>
            <w:tcW w:w="1134" w:type="dxa"/>
            <w:tcMar>
              <w:left w:w="0" w:type="dxa"/>
              <w:right w:w="0" w:type="dxa"/>
            </w:tcMar>
          </w:tcPr>
          <w:p w14:paraId="1CFC8DB0" w14:textId="77777777" w:rsidR="00E7028F" w:rsidRPr="00E7028F" w:rsidRDefault="00E7028F" w:rsidP="00E7028F">
            <w:pPr>
              <w:spacing w:after="0"/>
              <w:ind w:left="426"/>
            </w:pPr>
            <w:r w:rsidRPr="00E7028F">
              <w:t>48</w:t>
            </w:r>
          </w:p>
        </w:tc>
        <w:tc>
          <w:tcPr>
            <w:tcW w:w="1417" w:type="dxa"/>
          </w:tcPr>
          <w:p w14:paraId="1FD457CE" w14:textId="77777777" w:rsidR="00E7028F" w:rsidRPr="00E7028F" w:rsidRDefault="00E7028F" w:rsidP="00E7028F">
            <w:pPr>
              <w:spacing w:after="0"/>
              <w:ind w:left="321"/>
              <w:jc w:val="left"/>
              <w:rPr>
                <w:szCs w:val="17"/>
              </w:rPr>
            </w:pPr>
            <w:r w:rsidRPr="00E7028F">
              <w:rPr>
                <w:szCs w:val="17"/>
              </w:rPr>
              <w:t>F40703</w:t>
            </w:r>
          </w:p>
        </w:tc>
        <w:tc>
          <w:tcPr>
            <w:tcW w:w="1422" w:type="dxa"/>
          </w:tcPr>
          <w:p w14:paraId="30393C86" w14:textId="77777777" w:rsidR="00E7028F" w:rsidRPr="00E7028F" w:rsidRDefault="00E7028F" w:rsidP="00E7028F">
            <w:pPr>
              <w:spacing w:after="0"/>
              <w:ind w:left="319"/>
              <w:jc w:val="left"/>
              <w:rPr>
                <w:szCs w:val="17"/>
              </w:rPr>
            </w:pPr>
            <w:r w:rsidRPr="00E7028F">
              <w:rPr>
                <w:szCs w:val="17"/>
              </w:rPr>
              <w:t>A7</w:t>
            </w:r>
          </w:p>
        </w:tc>
      </w:tr>
      <w:tr w:rsidR="00E7028F" w:rsidRPr="00E7028F" w14:paraId="710AB45B" w14:textId="77777777" w:rsidTr="000E227A">
        <w:tc>
          <w:tcPr>
            <w:tcW w:w="4111" w:type="dxa"/>
          </w:tcPr>
          <w:p w14:paraId="39B3287E" w14:textId="77777777" w:rsidR="00E7028F" w:rsidRPr="00E7028F" w:rsidRDefault="00E7028F" w:rsidP="00E7028F">
            <w:pPr>
              <w:spacing w:after="0"/>
              <w:rPr>
                <w:szCs w:val="17"/>
              </w:rPr>
            </w:pPr>
            <w:r w:rsidRPr="00E7028F">
              <w:rPr>
                <w:szCs w:val="17"/>
              </w:rPr>
              <w:t>lot 33 Harris Pl., Seaton</w:t>
            </w:r>
          </w:p>
        </w:tc>
        <w:tc>
          <w:tcPr>
            <w:tcW w:w="1276" w:type="dxa"/>
          </w:tcPr>
          <w:p w14:paraId="29253753" w14:textId="77777777" w:rsidR="00E7028F" w:rsidRPr="00E7028F" w:rsidRDefault="00E7028F" w:rsidP="00E7028F">
            <w:pPr>
              <w:spacing w:after="0"/>
              <w:jc w:val="center"/>
              <w:rPr>
                <w:szCs w:val="17"/>
              </w:rPr>
            </w:pPr>
            <w:r w:rsidRPr="00E7028F">
              <w:rPr>
                <w:szCs w:val="17"/>
              </w:rPr>
              <w:t>CT5964</w:t>
            </w:r>
          </w:p>
        </w:tc>
        <w:tc>
          <w:tcPr>
            <w:tcW w:w="1134" w:type="dxa"/>
            <w:tcMar>
              <w:left w:w="0" w:type="dxa"/>
              <w:right w:w="0" w:type="dxa"/>
            </w:tcMar>
          </w:tcPr>
          <w:p w14:paraId="13C844EB" w14:textId="77777777" w:rsidR="00E7028F" w:rsidRPr="00E7028F" w:rsidRDefault="00E7028F" w:rsidP="00E7028F">
            <w:pPr>
              <w:spacing w:after="0"/>
              <w:ind w:left="426"/>
            </w:pPr>
            <w:r w:rsidRPr="00E7028F">
              <w:t>952</w:t>
            </w:r>
          </w:p>
        </w:tc>
        <w:tc>
          <w:tcPr>
            <w:tcW w:w="1417" w:type="dxa"/>
          </w:tcPr>
          <w:p w14:paraId="0508B614" w14:textId="77777777" w:rsidR="00E7028F" w:rsidRPr="00E7028F" w:rsidRDefault="00E7028F" w:rsidP="00E7028F">
            <w:pPr>
              <w:spacing w:after="0"/>
              <w:ind w:left="321"/>
              <w:jc w:val="left"/>
              <w:rPr>
                <w:szCs w:val="17"/>
              </w:rPr>
            </w:pPr>
            <w:r w:rsidRPr="00E7028F">
              <w:rPr>
                <w:szCs w:val="17"/>
              </w:rPr>
              <w:t>D4581</w:t>
            </w:r>
          </w:p>
        </w:tc>
        <w:tc>
          <w:tcPr>
            <w:tcW w:w="1422" w:type="dxa"/>
          </w:tcPr>
          <w:p w14:paraId="3A3DD46A" w14:textId="77777777" w:rsidR="00E7028F" w:rsidRPr="00E7028F" w:rsidRDefault="00E7028F" w:rsidP="00E7028F">
            <w:pPr>
              <w:spacing w:after="0"/>
              <w:ind w:left="319"/>
              <w:jc w:val="left"/>
              <w:rPr>
                <w:szCs w:val="17"/>
              </w:rPr>
            </w:pPr>
            <w:r w:rsidRPr="00E7028F">
              <w:rPr>
                <w:szCs w:val="17"/>
              </w:rPr>
              <w:t>A33</w:t>
            </w:r>
          </w:p>
        </w:tc>
      </w:tr>
      <w:tr w:rsidR="00E7028F" w:rsidRPr="00E7028F" w14:paraId="6CAEB6F6" w14:textId="77777777" w:rsidTr="000E227A">
        <w:tc>
          <w:tcPr>
            <w:tcW w:w="4111" w:type="dxa"/>
          </w:tcPr>
          <w:p w14:paraId="42B5FCB2" w14:textId="77777777" w:rsidR="00E7028F" w:rsidRPr="00E7028F" w:rsidRDefault="00E7028F" w:rsidP="00E7028F">
            <w:pPr>
              <w:spacing w:after="0"/>
              <w:rPr>
                <w:szCs w:val="17"/>
              </w:rPr>
            </w:pPr>
            <w:r w:rsidRPr="00E7028F">
              <w:rPr>
                <w:szCs w:val="17"/>
              </w:rPr>
              <w:t xml:space="preserve">244 </w:t>
            </w:r>
            <w:proofErr w:type="spellStart"/>
            <w:r w:rsidRPr="00E7028F">
              <w:rPr>
                <w:szCs w:val="17"/>
              </w:rPr>
              <w:t>Tapleys</w:t>
            </w:r>
            <w:proofErr w:type="spellEnd"/>
            <w:r w:rsidRPr="00E7028F">
              <w:rPr>
                <w:szCs w:val="17"/>
              </w:rPr>
              <w:t xml:space="preserve"> Hill Rd, Seaton</w:t>
            </w:r>
          </w:p>
        </w:tc>
        <w:tc>
          <w:tcPr>
            <w:tcW w:w="1276" w:type="dxa"/>
          </w:tcPr>
          <w:p w14:paraId="5AAC1965" w14:textId="77777777" w:rsidR="00E7028F" w:rsidRPr="00E7028F" w:rsidRDefault="00E7028F" w:rsidP="00E7028F">
            <w:pPr>
              <w:spacing w:after="0"/>
              <w:jc w:val="center"/>
              <w:rPr>
                <w:szCs w:val="17"/>
              </w:rPr>
            </w:pPr>
            <w:r w:rsidRPr="00E7028F">
              <w:rPr>
                <w:szCs w:val="17"/>
              </w:rPr>
              <w:t>CT5563</w:t>
            </w:r>
          </w:p>
        </w:tc>
        <w:tc>
          <w:tcPr>
            <w:tcW w:w="1134" w:type="dxa"/>
            <w:tcMar>
              <w:left w:w="0" w:type="dxa"/>
              <w:right w:w="0" w:type="dxa"/>
            </w:tcMar>
          </w:tcPr>
          <w:p w14:paraId="175724A4" w14:textId="77777777" w:rsidR="00E7028F" w:rsidRPr="00E7028F" w:rsidRDefault="00E7028F" w:rsidP="00E7028F">
            <w:pPr>
              <w:spacing w:after="0"/>
              <w:ind w:left="426"/>
            </w:pPr>
            <w:r w:rsidRPr="00E7028F">
              <w:t>312</w:t>
            </w:r>
          </w:p>
        </w:tc>
        <w:tc>
          <w:tcPr>
            <w:tcW w:w="1417" w:type="dxa"/>
          </w:tcPr>
          <w:p w14:paraId="05255F1B" w14:textId="77777777" w:rsidR="00E7028F" w:rsidRPr="00E7028F" w:rsidRDefault="00E7028F" w:rsidP="00E7028F">
            <w:pPr>
              <w:spacing w:after="0"/>
              <w:ind w:left="321"/>
              <w:jc w:val="left"/>
              <w:rPr>
                <w:szCs w:val="17"/>
              </w:rPr>
            </w:pPr>
            <w:r w:rsidRPr="00E7028F">
              <w:rPr>
                <w:szCs w:val="17"/>
              </w:rPr>
              <w:t>F39418</w:t>
            </w:r>
          </w:p>
        </w:tc>
        <w:tc>
          <w:tcPr>
            <w:tcW w:w="1422" w:type="dxa"/>
          </w:tcPr>
          <w:p w14:paraId="05BE32C7" w14:textId="77777777" w:rsidR="00E7028F" w:rsidRPr="00E7028F" w:rsidRDefault="00E7028F" w:rsidP="00E7028F">
            <w:pPr>
              <w:spacing w:after="0"/>
              <w:ind w:left="319"/>
              <w:jc w:val="left"/>
              <w:rPr>
                <w:szCs w:val="17"/>
              </w:rPr>
            </w:pPr>
            <w:r w:rsidRPr="00E7028F">
              <w:rPr>
                <w:szCs w:val="17"/>
              </w:rPr>
              <w:t>A4</w:t>
            </w:r>
          </w:p>
        </w:tc>
      </w:tr>
      <w:tr w:rsidR="00E7028F" w:rsidRPr="00E7028F" w14:paraId="16A1D3D5" w14:textId="77777777" w:rsidTr="000E227A">
        <w:tc>
          <w:tcPr>
            <w:tcW w:w="4111" w:type="dxa"/>
          </w:tcPr>
          <w:p w14:paraId="05ADDDD4" w14:textId="7E98313C" w:rsidR="00E7028F" w:rsidRPr="00E7028F" w:rsidRDefault="001A5EE1" w:rsidP="00E7028F">
            <w:pPr>
              <w:spacing w:after="0"/>
              <w:rPr>
                <w:szCs w:val="17"/>
              </w:rPr>
            </w:pPr>
            <w:r>
              <w:rPr>
                <w:szCs w:val="17"/>
              </w:rPr>
              <w:t>L</w:t>
            </w:r>
            <w:r w:rsidR="00E7028F" w:rsidRPr="00E7028F">
              <w:rPr>
                <w:szCs w:val="17"/>
              </w:rPr>
              <w:t>ot 51 parker Ave, Seaton</w:t>
            </w:r>
          </w:p>
        </w:tc>
        <w:tc>
          <w:tcPr>
            <w:tcW w:w="1276" w:type="dxa"/>
          </w:tcPr>
          <w:p w14:paraId="7A23B533" w14:textId="77777777" w:rsidR="00E7028F" w:rsidRPr="00E7028F" w:rsidRDefault="00E7028F" w:rsidP="00E7028F">
            <w:pPr>
              <w:spacing w:after="0"/>
              <w:jc w:val="center"/>
              <w:rPr>
                <w:szCs w:val="17"/>
              </w:rPr>
            </w:pPr>
            <w:r w:rsidRPr="00E7028F">
              <w:rPr>
                <w:szCs w:val="17"/>
              </w:rPr>
              <w:t>CT6039</w:t>
            </w:r>
          </w:p>
        </w:tc>
        <w:tc>
          <w:tcPr>
            <w:tcW w:w="1134" w:type="dxa"/>
            <w:tcMar>
              <w:left w:w="0" w:type="dxa"/>
              <w:right w:w="0" w:type="dxa"/>
            </w:tcMar>
          </w:tcPr>
          <w:p w14:paraId="46EB65A8" w14:textId="77777777" w:rsidR="00E7028F" w:rsidRPr="00E7028F" w:rsidRDefault="00E7028F" w:rsidP="00E7028F">
            <w:pPr>
              <w:spacing w:after="0"/>
              <w:ind w:left="426"/>
            </w:pPr>
            <w:r w:rsidRPr="00E7028F">
              <w:t>380</w:t>
            </w:r>
          </w:p>
        </w:tc>
        <w:tc>
          <w:tcPr>
            <w:tcW w:w="1417" w:type="dxa"/>
          </w:tcPr>
          <w:p w14:paraId="4FA7A8E2" w14:textId="77777777" w:rsidR="00E7028F" w:rsidRPr="00E7028F" w:rsidRDefault="00E7028F" w:rsidP="00E7028F">
            <w:pPr>
              <w:spacing w:after="0"/>
              <w:ind w:left="321"/>
              <w:jc w:val="left"/>
              <w:rPr>
                <w:szCs w:val="17"/>
              </w:rPr>
            </w:pPr>
            <w:r w:rsidRPr="00E7028F">
              <w:rPr>
                <w:szCs w:val="17"/>
              </w:rPr>
              <w:t>D81255</w:t>
            </w:r>
          </w:p>
        </w:tc>
        <w:tc>
          <w:tcPr>
            <w:tcW w:w="1422" w:type="dxa"/>
          </w:tcPr>
          <w:p w14:paraId="6E06D18C" w14:textId="77777777" w:rsidR="00E7028F" w:rsidRPr="00E7028F" w:rsidRDefault="00E7028F" w:rsidP="00E7028F">
            <w:pPr>
              <w:spacing w:after="0"/>
              <w:ind w:left="319"/>
              <w:jc w:val="left"/>
              <w:rPr>
                <w:szCs w:val="17"/>
              </w:rPr>
            </w:pPr>
            <w:r w:rsidRPr="00E7028F">
              <w:rPr>
                <w:szCs w:val="17"/>
              </w:rPr>
              <w:t>A51</w:t>
            </w:r>
          </w:p>
        </w:tc>
      </w:tr>
      <w:tr w:rsidR="00E7028F" w:rsidRPr="00E7028F" w14:paraId="37034B03" w14:textId="77777777" w:rsidTr="000E227A">
        <w:tc>
          <w:tcPr>
            <w:tcW w:w="4111" w:type="dxa"/>
          </w:tcPr>
          <w:p w14:paraId="5948627A" w14:textId="77777777" w:rsidR="00E7028F" w:rsidRPr="00E7028F" w:rsidRDefault="00E7028F" w:rsidP="00E7028F">
            <w:pPr>
              <w:spacing w:after="0"/>
              <w:rPr>
                <w:szCs w:val="17"/>
              </w:rPr>
            </w:pPr>
            <w:r w:rsidRPr="00E7028F">
              <w:rPr>
                <w:szCs w:val="17"/>
              </w:rPr>
              <w:t>Lot 258 Matthews Ave, Seaton</w:t>
            </w:r>
          </w:p>
        </w:tc>
        <w:tc>
          <w:tcPr>
            <w:tcW w:w="1276" w:type="dxa"/>
          </w:tcPr>
          <w:p w14:paraId="48F6C2D4" w14:textId="77777777" w:rsidR="00E7028F" w:rsidRPr="00E7028F" w:rsidRDefault="00E7028F" w:rsidP="00E7028F">
            <w:pPr>
              <w:spacing w:after="0"/>
              <w:jc w:val="center"/>
              <w:rPr>
                <w:szCs w:val="17"/>
              </w:rPr>
            </w:pPr>
            <w:r w:rsidRPr="00E7028F">
              <w:rPr>
                <w:szCs w:val="17"/>
              </w:rPr>
              <w:t>CT6039</w:t>
            </w:r>
          </w:p>
        </w:tc>
        <w:tc>
          <w:tcPr>
            <w:tcW w:w="1134" w:type="dxa"/>
            <w:tcMar>
              <w:left w:w="0" w:type="dxa"/>
              <w:right w:w="0" w:type="dxa"/>
            </w:tcMar>
          </w:tcPr>
          <w:p w14:paraId="3D9D170F" w14:textId="77777777" w:rsidR="00E7028F" w:rsidRPr="00E7028F" w:rsidRDefault="00E7028F" w:rsidP="00E7028F">
            <w:pPr>
              <w:spacing w:after="0"/>
              <w:ind w:left="426"/>
            </w:pPr>
            <w:r w:rsidRPr="00E7028F">
              <w:t>382</w:t>
            </w:r>
          </w:p>
        </w:tc>
        <w:tc>
          <w:tcPr>
            <w:tcW w:w="1417" w:type="dxa"/>
          </w:tcPr>
          <w:p w14:paraId="4E8A5E55" w14:textId="77777777" w:rsidR="00E7028F" w:rsidRPr="00E7028F" w:rsidRDefault="00E7028F" w:rsidP="00E7028F">
            <w:pPr>
              <w:spacing w:after="0"/>
              <w:ind w:left="321"/>
              <w:jc w:val="left"/>
              <w:rPr>
                <w:szCs w:val="17"/>
              </w:rPr>
            </w:pPr>
            <w:r w:rsidRPr="00E7028F">
              <w:rPr>
                <w:szCs w:val="17"/>
              </w:rPr>
              <w:t>D4581</w:t>
            </w:r>
          </w:p>
        </w:tc>
        <w:tc>
          <w:tcPr>
            <w:tcW w:w="1422" w:type="dxa"/>
          </w:tcPr>
          <w:p w14:paraId="2D51D273" w14:textId="77777777" w:rsidR="00E7028F" w:rsidRPr="00E7028F" w:rsidRDefault="00E7028F" w:rsidP="00E7028F">
            <w:pPr>
              <w:spacing w:after="0"/>
              <w:ind w:left="319"/>
              <w:jc w:val="left"/>
              <w:rPr>
                <w:szCs w:val="17"/>
              </w:rPr>
            </w:pPr>
            <w:r w:rsidRPr="00E7028F">
              <w:rPr>
                <w:szCs w:val="17"/>
              </w:rPr>
              <w:t>A258</w:t>
            </w:r>
          </w:p>
        </w:tc>
      </w:tr>
      <w:tr w:rsidR="00E7028F" w:rsidRPr="00E7028F" w14:paraId="14E9BE18" w14:textId="77777777" w:rsidTr="000E227A">
        <w:tc>
          <w:tcPr>
            <w:tcW w:w="4111" w:type="dxa"/>
          </w:tcPr>
          <w:p w14:paraId="146185A3" w14:textId="77777777" w:rsidR="00E7028F" w:rsidRPr="00E7028F" w:rsidRDefault="00E7028F" w:rsidP="00E7028F">
            <w:pPr>
              <w:spacing w:after="0"/>
              <w:rPr>
                <w:szCs w:val="17"/>
              </w:rPr>
            </w:pPr>
            <w:r w:rsidRPr="00E7028F">
              <w:rPr>
                <w:szCs w:val="17"/>
              </w:rPr>
              <w:t>90 Matthews Ave, Seaton</w:t>
            </w:r>
          </w:p>
        </w:tc>
        <w:tc>
          <w:tcPr>
            <w:tcW w:w="1276" w:type="dxa"/>
          </w:tcPr>
          <w:p w14:paraId="7C5085FE" w14:textId="77777777" w:rsidR="00E7028F" w:rsidRPr="00E7028F" w:rsidRDefault="00E7028F" w:rsidP="00E7028F">
            <w:pPr>
              <w:spacing w:after="0"/>
              <w:jc w:val="center"/>
              <w:rPr>
                <w:szCs w:val="17"/>
              </w:rPr>
            </w:pPr>
            <w:r w:rsidRPr="00E7028F">
              <w:rPr>
                <w:szCs w:val="17"/>
              </w:rPr>
              <w:t>CT6039</w:t>
            </w:r>
          </w:p>
        </w:tc>
        <w:tc>
          <w:tcPr>
            <w:tcW w:w="1134" w:type="dxa"/>
            <w:tcMar>
              <w:left w:w="0" w:type="dxa"/>
              <w:right w:w="0" w:type="dxa"/>
            </w:tcMar>
          </w:tcPr>
          <w:p w14:paraId="383161ED" w14:textId="77777777" w:rsidR="00E7028F" w:rsidRPr="00E7028F" w:rsidRDefault="00E7028F" w:rsidP="00E7028F">
            <w:pPr>
              <w:spacing w:after="0"/>
              <w:ind w:left="426"/>
            </w:pPr>
            <w:r w:rsidRPr="00E7028F">
              <w:t>382</w:t>
            </w:r>
          </w:p>
        </w:tc>
        <w:tc>
          <w:tcPr>
            <w:tcW w:w="1417" w:type="dxa"/>
          </w:tcPr>
          <w:p w14:paraId="5986964A" w14:textId="77777777" w:rsidR="00E7028F" w:rsidRPr="00E7028F" w:rsidRDefault="00E7028F" w:rsidP="00E7028F">
            <w:pPr>
              <w:spacing w:after="0"/>
              <w:ind w:left="321"/>
              <w:jc w:val="left"/>
              <w:rPr>
                <w:szCs w:val="17"/>
              </w:rPr>
            </w:pPr>
            <w:r w:rsidRPr="00E7028F">
              <w:rPr>
                <w:szCs w:val="17"/>
              </w:rPr>
              <w:t>D4581</w:t>
            </w:r>
          </w:p>
        </w:tc>
        <w:tc>
          <w:tcPr>
            <w:tcW w:w="1422" w:type="dxa"/>
          </w:tcPr>
          <w:p w14:paraId="1B4082E1" w14:textId="77777777" w:rsidR="00E7028F" w:rsidRPr="00E7028F" w:rsidRDefault="00E7028F" w:rsidP="00E7028F">
            <w:pPr>
              <w:spacing w:after="0"/>
              <w:ind w:left="319"/>
              <w:jc w:val="left"/>
              <w:rPr>
                <w:szCs w:val="17"/>
              </w:rPr>
            </w:pPr>
            <w:r w:rsidRPr="00E7028F">
              <w:rPr>
                <w:szCs w:val="17"/>
              </w:rPr>
              <w:t>A259</w:t>
            </w:r>
          </w:p>
        </w:tc>
      </w:tr>
      <w:tr w:rsidR="00E7028F" w:rsidRPr="00E7028F" w14:paraId="555D0DE5" w14:textId="77777777" w:rsidTr="000E227A">
        <w:tc>
          <w:tcPr>
            <w:tcW w:w="4111" w:type="dxa"/>
          </w:tcPr>
          <w:p w14:paraId="662E55B7" w14:textId="77777777" w:rsidR="00E7028F" w:rsidRPr="00E7028F" w:rsidRDefault="00E7028F" w:rsidP="00E7028F">
            <w:pPr>
              <w:spacing w:after="0"/>
              <w:rPr>
                <w:szCs w:val="17"/>
              </w:rPr>
            </w:pPr>
            <w:r w:rsidRPr="00E7028F">
              <w:rPr>
                <w:szCs w:val="17"/>
              </w:rPr>
              <w:t>88 Matthews Ave, Seaton</w:t>
            </w:r>
          </w:p>
        </w:tc>
        <w:tc>
          <w:tcPr>
            <w:tcW w:w="1276" w:type="dxa"/>
          </w:tcPr>
          <w:p w14:paraId="1A9B33C3" w14:textId="77777777" w:rsidR="00E7028F" w:rsidRPr="00E7028F" w:rsidRDefault="00E7028F" w:rsidP="00E7028F">
            <w:pPr>
              <w:spacing w:after="0"/>
              <w:jc w:val="center"/>
              <w:rPr>
                <w:szCs w:val="17"/>
              </w:rPr>
            </w:pPr>
            <w:r w:rsidRPr="00E7028F">
              <w:rPr>
                <w:szCs w:val="17"/>
              </w:rPr>
              <w:t>CT6039</w:t>
            </w:r>
          </w:p>
        </w:tc>
        <w:tc>
          <w:tcPr>
            <w:tcW w:w="1134" w:type="dxa"/>
            <w:tcMar>
              <w:left w:w="0" w:type="dxa"/>
              <w:right w:w="0" w:type="dxa"/>
            </w:tcMar>
          </w:tcPr>
          <w:p w14:paraId="4F1D70FE" w14:textId="77777777" w:rsidR="00E7028F" w:rsidRPr="00E7028F" w:rsidRDefault="00E7028F" w:rsidP="00E7028F">
            <w:pPr>
              <w:spacing w:after="0"/>
              <w:ind w:left="426"/>
            </w:pPr>
            <w:r w:rsidRPr="00E7028F">
              <w:t>382</w:t>
            </w:r>
          </w:p>
        </w:tc>
        <w:tc>
          <w:tcPr>
            <w:tcW w:w="1417" w:type="dxa"/>
          </w:tcPr>
          <w:p w14:paraId="3784A01C" w14:textId="77777777" w:rsidR="00E7028F" w:rsidRPr="00E7028F" w:rsidRDefault="00E7028F" w:rsidP="00E7028F">
            <w:pPr>
              <w:spacing w:after="0"/>
              <w:ind w:left="321"/>
              <w:jc w:val="left"/>
              <w:rPr>
                <w:szCs w:val="17"/>
              </w:rPr>
            </w:pPr>
            <w:r w:rsidRPr="00E7028F">
              <w:rPr>
                <w:szCs w:val="17"/>
              </w:rPr>
              <w:t>D4581</w:t>
            </w:r>
          </w:p>
        </w:tc>
        <w:tc>
          <w:tcPr>
            <w:tcW w:w="1422" w:type="dxa"/>
          </w:tcPr>
          <w:p w14:paraId="75FF11DC" w14:textId="77777777" w:rsidR="00E7028F" w:rsidRPr="00E7028F" w:rsidRDefault="00E7028F" w:rsidP="00E7028F">
            <w:pPr>
              <w:spacing w:after="0"/>
              <w:ind w:left="319"/>
              <w:jc w:val="left"/>
              <w:rPr>
                <w:szCs w:val="17"/>
              </w:rPr>
            </w:pPr>
            <w:r w:rsidRPr="00E7028F">
              <w:rPr>
                <w:szCs w:val="17"/>
              </w:rPr>
              <w:t>A260</w:t>
            </w:r>
          </w:p>
        </w:tc>
      </w:tr>
      <w:tr w:rsidR="00E7028F" w:rsidRPr="00E7028F" w14:paraId="36FB3B79" w14:textId="77777777" w:rsidTr="000E227A">
        <w:tc>
          <w:tcPr>
            <w:tcW w:w="4111" w:type="dxa"/>
          </w:tcPr>
          <w:p w14:paraId="6DEAF676" w14:textId="77777777" w:rsidR="00E7028F" w:rsidRPr="00E7028F" w:rsidRDefault="00E7028F" w:rsidP="00E7028F">
            <w:pPr>
              <w:spacing w:after="0"/>
              <w:rPr>
                <w:szCs w:val="17"/>
              </w:rPr>
            </w:pPr>
            <w:r w:rsidRPr="00E7028F">
              <w:rPr>
                <w:szCs w:val="17"/>
              </w:rPr>
              <w:t>86 Matthews Ave, Seaton</w:t>
            </w:r>
          </w:p>
        </w:tc>
        <w:tc>
          <w:tcPr>
            <w:tcW w:w="1276" w:type="dxa"/>
          </w:tcPr>
          <w:p w14:paraId="69FDF8C3" w14:textId="77777777" w:rsidR="00E7028F" w:rsidRPr="00E7028F" w:rsidRDefault="00E7028F" w:rsidP="00E7028F">
            <w:pPr>
              <w:spacing w:after="0"/>
              <w:jc w:val="center"/>
              <w:rPr>
                <w:szCs w:val="17"/>
              </w:rPr>
            </w:pPr>
            <w:r w:rsidRPr="00E7028F">
              <w:rPr>
                <w:szCs w:val="17"/>
              </w:rPr>
              <w:t>CT6039</w:t>
            </w:r>
          </w:p>
        </w:tc>
        <w:tc>
          <w:tcPr>
            <w:tcW w:w="1134" w:type="dxa"/>
            <w:tcMar>
              <w:left w:w="0" w:type="dxa"/>
              <w:right w:w="0" w:type="dxa"/>
            </w:tcMar>
          </w:tcPr>
          <w:p w14:paraId="4F3D4042" w14:textId="77777777" w:rsidR="00E7028F" w:rsidRPr="00E7028F" w:rsidRDefault="00E7028F" w:rsidP="00E7028F">
            <w:pPr>
              <w:spacing w:after="0"/>
              <w:ind w:left="426"/>
            </w:pPr>
            <w:r w:rsidRPr="00E7028F">
              <w:t>382</w:t>
            </w:r>
          </w:p>
        </w:tc>
        <w:tc>
          <w:tcPr>
            <w:tcW w:w="1417" w:type="dxa"/>
          </w:tcPr>
          <w:p w14:paraId="7BD701A2" w14:textId="77777777" w:rsidR="00E7028F" w:rsidRPr="00E7028F" w:rsidRDefault="00E7028F" w:rsidP="00E7028F">
            <w:pPr>
              <w:spacing w:after="0"/>
              <w:ind w:left="321"/>
              <w:jc w:val="left"/>
              <w:rPr>
                <w:szCs w:val="17"/>
              </w:rPr>
            </w:pPr>
            <w:r w:rsidRPr="00E7028F">
              <w:rPr>
                <w:szCs w:val="17"/>
              </w:rPr>
              <w:t>D4581</w:t>
            </w:r>
          </w:p>
        </w:tc>
        <w:tc>
          <w:tcPr>
            <w:tcW w:w="1422" w:type="dxa"/>
          </w:tcPr>
          <w:p w14:paraId="0266A602" w14:textId="77777777" w:rsidR="00E7028F" w:rsidRPr="00E7028F" w:rsidRDefault="00E7028F" w:rsidP="00E7028F">
            <w:pPr>
              <w:spacing w:after="0"/>
              <w:ind w:left="319"/>
              <w:jc w:val="left"/>
              <w:rPr>
                <w:szCs w:val="17"/>
              </w:rPr>
            </w:pPr>
            <w:r w:rsidRPr="00E7028F">
              <w:rPr>
                <w:szCs w:val="17"/>
              </w:rPr>
              <w:t>A261</w:t>
            </w:r>
          </w:p>
        </w:tc>
      </w:tr>
      <w:tr w:rsidR="00E7028F" w:rsidRPr="00E7028F" w14:paraId="0B8A8AFF" w14:textId="77777777" w:rsidTr="000E227A">
        <w:tc>
          <w:tcPr>
            <w:tcW w:w="4111" w:type="dxa"/>
          </w:tcPr>
          <w:p w14:paraId="5F2552E5" w14:textId="77777777" w:rsidR="00E7028F" w:rsidRPr="00E7028F" w:rsidRDefault="00E7028F" w:rsidP="00E7028F">
            <w:pPr>
              <w:spacing w:after="0"/>
              <w:rPr>
                <w:szCs w:val="17"/>
              </w:rPr>
            </w:pPr>
            <w:r w:rsidRPr="00E7028F">
              <w:rPr>
                <w:szCs w:val="17"/>
              </w:rPr>
              <w:t>84 Matthews Ave, Seaton</w:t>
            </w:r>
          </w:p>
        </w:tc>
        <w:tc>
          <w:tcPr>
            <w:tcW w:w="1276" w:type="dxa"/>
          </w:tcPr>
          <w:p w14:paraId="35EA060A" w14:textId="77777777" w:rsidR="00E7028F" w:rsidRPr="00E7028F" w:rsidRDefault="00E7028F" w:rsidP="00E7028F">
            <w:pPr>
              <w:spacing w:after="0"/>
              <w:jc w:val="center"/>
              <w:rPr>
                <w:szCs w:val="17"/>
              </w:rPr>
            </w:pPr>
            <w:r w:rsidRPr="00E7028F">
              <w:rPr>
                <w:szCs w:val="17"/>
              </w:rPr>
              <w:t>CT6039</w:t>
            </w:r>
          </w:p>
        </w:tc>
        <w:tc>
          <w:tcPr>
            <w:tcW w:w="1134" w:type="dxa"/>
            <w:tcMar>
              <w:left w:w="0" w:type="dxa"/>
              <w:right w:w="0" w:type="dxa"/>
            </w:tcMar>
          </w:tcPr>
          <w:p w14:paraId="6DF68838" w14:textId="77777777" w:rsidR="00E7028F" w:rsidRPr="00E7028F" w:rsidRDefault="00E7028F" w:rsidP="00E7028F">
            <w:pPr>
              <w:spacing w:after="0"/>
              <w:ind w:left="426"/>
            </w:pPr>
            <w:r w:rsidRPr="00E7028F">
              <w:t>382</w:t>
            </w:r>
          </w:p>
        </w:tc>
        <w:tc>
          <w:tcPr>
            <w:tcW w:w="1417" w:type="dxa"/>
          </w:tcPr>
          <w:p w14:paraId="25D4BD56" w14:textId="77777777" w:rsidR="00E7028F" w:rsidRPr="00E7028F" w:rsidRDefault="00E7028F" w:rsidP="00E7028F">
            <w:pPr>
              <w:spacing w:after="0"/>
              <w:ind w:left="321"/>
              <w:jc w:val="left"/>
              <w:rPr>
                <w:szCs w:val="17"/>
              </w:rPr>
            </w:pPr>
            <w:r w:rsidRPr="00E7028F">
              <w:rPr>
                <w:szCs w:val="17"/>
              </w:rPr>
              <w:t>D4581</w:t>
            </w:r>
          </w:p>
        </w:tc>
        <w:tc>
          <w:tcPr>
            <w:tcW w:w="1422" w:type="dxa"/>
          </w:tcPr>
          <w:p w14:paraId="6D7062C8" w14:textId="77777777" w:rsidR="00E7028F" w:rsidRPr="00E7028F" w:rsidRDefault="00E7028F" w:rsidP="00E7028F">
            <w:pPr>
              <w:spacing w:after="0"/>
              <w:ind w:left="319"/>
              <w:jc w:val="left"/>
              <w:rPr>
                <w:szCs w:val="17"/>
              </w:rPr>
            </w:pPr>
            <w:r w:rsidRPr="00E7028F">
              <w:rPr>
                <w:szCs w:val="17"/>
              </w:rPr>
              <w:t>A262</w:t>
            </w:r>
          </w:p>
        </w:tc>
      </w:tr>
      <w:tr w:rsidR="00E7028F" w:rsidRPr="00E7028F" w14:paraId="1543D554" w14:textId="77777777" w:rsidTr="000E227A">
        <w:tc>
          <w:tcPr>
            <w:tcW w:w="4111" w:type="dxa"/>
          </w:tcPr>
          <w:p w14:paraId="5D030152" w14:textId="77777777" w:rsidR="00E7028F" w:rsidRPr="00E7028F" w:rsidRDefault="00E7028F" w:rsidP="00E7028F">
            <w:pPr>
              <w:spacing w:after="0"/>
              <w:rPr>
                <w:szCs w:val="17"/>
              </w:rPr>
            </w:pPr>
            <w:r w:rsidRPr="00E7028F">
              <w:rPr>
                <w:szCs w:val="17"/>
              </w:rPr>
              <w:t>82 Matthews Ave, Seaton</w:t>
            </w:r>
          </w:p>
        </w:tc>
        <w:tc>
          <w:tcPr>
            <w:tcW w:w="1276" w:type="dxa"/>
          </w:tcPr>
          <w:p w14:paraId="575698D4" w14:textId="77777777" w:rsidR="00E7028F" w:rsidRPr="00E7028F" w:rsidRDefault="00E7028F" w:rsidP="00E7028F">
            <w:pPr>
              <w:spacing w:after="0"/>
              <w:jc w:val="center"/>
              <w:rPr>
                <w:szCs w:val="17"/>
              </w:rPr>
            </w:pPr>
            <w:r w:rsidRPr="00E7028F">
              <w:rPr>
                <w:szCs w:val="17"/>
              </w:rPr>
              <w:t>CT6039</w:t>
            </w:r>
          </w:p>
        </w:tc>
        <w:tc>
          <w:tcPr>
            <w:tcW w:w="1134" w:type="dxa"/>
            <w:tcMar>
              <w:left w:w="0" w:type="dxa"/>
              <w:right w:w="0" w:type="dxa"/>
            </w:tcMar>
          </w:tcPr>
          <w:p w14:paraId="3031E864" w14:textId="77777777" w:rsidR="00E7028F" w:rsidRPr="00E7028F" w:rsidRDefault="00E7028F" w:rsidP="00E7028F">
            <w:pPr>
              <w:spacing w:after="0"/>
              <w:ind w:left="426"/>
            </w:pPr>
            <w:r w:rsidRPr="00E7028F">
              <w:t>382</w:t>
            </w:r>
          </w:p>
        </w:tc>
        <w:tc>
          <w:tcPr>
            <w:tcW w:w="1417" w:type="dxa"/>
          </w:tcPr>
          <w:p w14:paraId="05AD02F9" w14:textId="77777777" w:rsidR="00E7028F" w:rsidRPr="00E7028F" w:rsidRDefault="00E7028F" w:rsidP="00E7028F">
            <w:pPr>
              <w:spacing w:after="0"/>
              <w:ind w:left="321"/>
              <w:jc w:val="left"/>
              <w:rPr>
                <w:szCs w:val="17"/>
              </w:rPr>
            </w:pPr>
            <w:r w:rsidRPr="00E7028F">
              <w:rPr>
                <w:szCs w:val="17"/>
              </w:rPr>
              <w:t>D4581</w:t>
            </w:r>
          </w:p>
        </w:tc>
        <w:tc>
          <w:tcPr>
            <w:tcW w:w="1422" w:type="dxa"/>
          </w:tcPr>
          <w:p w14:paraId="5957B83D" w14:textId="77777777" w:rsidR="00E7028F" w:rsidRPr="00E7028F" w:rsidRDefault="00E7028F" w:rsidP="00E7028F">
            <w:pPr>
              <w:spacing w:after="0"/>
              <w:ind w:left="319"/>
              <w:jc w:val="left"/>
              <w:rPr>
                <w:szCs w:val="17"/>
              </w:rPr>
            </w:pPr>
            <w:r w:rsidRPr="00E7028F">
              <w:rPr>
                <w:szCs w:val="17"/>
              </w:rPr>
              <w:t>A263</w:t>
            </w:r>
          </w:p>
        </w:tc>
      </w:tr>
      <w:tr w:rsidR="00E7028F" w:rsidRPr="00E7028F" w14:paraId="37982CDB" w14:textId="77777777" w:rsidTr="000E227A">
        <w:tc>
          <w:tcPr>
            <w:tcW w:w="4111" w:type="dxa"/>
          </w:tcPr>
          <w:p w14:paraId="665BB0D5" w14:textId="77777777" w:rsidR="00E7028F" w:rsidRPr="00E7028F" w:rsidRDefault="00E7028F" w:rsidP="00E7028F">
            <w:pPr>
              <w:spacing w:after="0"/>
              <w:rPr>
                <w:szCs w:val="17"/>
              </w:rPr>
            </w:pPr>
            <w:r w:rsidRPr="00E7028F">
              <w:rPr>
                <w:szCs w:val="17"/>
              </w:rPr>
              <w:lastRenderedPageBreak/>
              <w:t>80 Matthews Ave, Seaton</w:t>
            </w:r>
          </w:p>
        </w:tc>
        <w:tc>
          <w:tcPr>
            <w:tcW w:w="1276" w:type="dxa"/>
          </w:tcPr>
          <w:p w14:paraId="669BD9DB" w14:textId="77777777" w:rsidR="00E7028F" w:rsidRPr="00E7028F" w:rsidRDefault="00E7028F" w:rsidP="00E7028F">
            <w:pPr>
              <w:spacing w:after="0"/>
              <w:jc w:val="center"/>
              <w:rPr>
                <w:szCs w:val="17"/>
              </w:rPr>
            </w:pPr>
            <w:r w:rsidRPr="00E7028F">
              <w:rPr>
                <w:szCs w:val="17"/>
              </w:rPr>
              <w:t>CT6039</w:t>
            </w:r>
          </w:p>
        </w:tc>
        <w:tc>
          <w:tcPr>
            <w:tcW w:w="1134" w:type="dxa"/>
            <w:tcMar>
              <w:left w:w="0" w:type="dxa"/>
              <w:right w:w="0" w:type="dxa"/>
            </w:tcMar>
          </w:tcPr>
          <w:p w14:paraId="040197C7" w14:textId="77777777" w:rsidR="00E7028F" w:rsidRPr="00E7028F" w:rsidRDefault="00E7028F" w:rsidP="00E7028F">
            <w:pPr>
              <w:spacing w:after="0"/>
              <w:ind w:left="426"/>
            </w:pPr>
            <w:r w:rsidRPr="00E7028F">
              <w:t>382</w:t>
            </w:r>
          </w:p>
        </w:tc>
        <w:tc>
          <w:tcPr>
            <w:tcW w:w="1417" w:type="dxa"/>
          </w:tcPr>
          <w:p w14:paraId="4C287260" w14:textId="77777777" w:rsidR="00E7028F" w:rsidRPr="00E7028F" w:rsidRDefault="00E7028F" w:rsidP="00E7028F">
            <w:pPr>
              <w:spacing w:after="0"/>
              <w:ind w:left="321"/>
              <w:jc w:val="left"/>
              <w:rPr>
                <w:szCs w:val="17"/>
              </w:rPr>
            </w:pPr>
            <w:r w:rsidRPr="00E7028F">
              <w:rPr>
                <w:szCs w:val="17"/>
              </w:rPr>
              <w:t>D4581</w:t>
            </w:r>
          </w:p>
        </w:tc>
        <w:tc>
          <w:tcPr>
            <w:tcW w:w="1422" w:type="dxa"/>
          </w:tcPr>
          <w:p w14:paraId="46B8B8D9" w14:textId="77777777" w:rsidR="00E7028F" w:rsidRPr="00E7028F" w:rsidRDefault="00E7028F" w:rsidP="00E7028F">
            <w:pPr>
              <w:spacing w:after="0"/>
              <w:ind w:left="319"/>
              <w:jc w:val="left"/>
              <w:rPr>
                <w:szCs w:val="17"/>
              </w:rPr>
            </w:pPr>
            <w:r w:rsidRPr="00E7028F">
              <w:rPr>
                <w:szCs w:val="17"/>
              </w:rPr>
              <w:t>A264</w:t>
            </w:r>
          </w:p>
        </w:tc>
      </w:tr>
      <w:tr w:rsidR="00E7028F" w:rsidRPr="00E7028F" w14:paraId="41D9CACF" w14:textId="77777777" w:rsidTr="000E227A">
        <w:tc>
          <w:tcPr>
            <w:tcW w:w="4111" w:type="dxa"/>
          </w:tcPr>
          <w:p w14:paraId="63FDA719" w14:textId="77777777" w:rsidR="00E7028F" w:rsidRPr="00E7028F" w:rsidRDefault="00E7028F" w:rsidP="00E7028F">
            <w:pPr>
              <w:spacing w:after="0"/>
              <w:rPr>
                <w:szCs w:val="17"/>
              </w:rPr>
            </w:pPr>
            <w:r w:rsidRPr="00E7028F">
              <w:rPr>
                <w:szCs w:val="17"/>
              </w:rPr>
              <w:t>70 Matthews Ave, Seaton</w:t>
            </w:r>
          </w:p>
        </w:tc>
        <w:tc>
          <w:tcPr>
            <w:tcW w:w="1276" w:type="dxa"/>
          </w:tcPr>
          <w:p w14:paraId="1500463F" w14:textId="77777777" w:rsidR="00E7028F" w:rsidRPr="00E7028F" w:rsidRDefault="00E7028F" w:rsidP="00E7028F">
            <w:pPr>
              <w:spacing w:after="0"/>
              <w:jc w:val="center"/>
              <w:rPr>
                <w:szCs w:val="17"/>
              </w:rPr>
            </w:pPr>
            <w:r w:rsidRPr="00E7028F">
              <w:rPr>
                <w:szCs w:val="17"/>
              </w:rPr>
              <w:t>CT6296</w:t>
            </w:r>
          </w:p>
        </w:tc>
        <w:tc>
          <w:tcPr>
            <w:tcW w:w="1134" w:type="dxa"/>
            <w:tcMar>
              <w:left w:w="0" w:type="dxa"/>
              <w:right w:w="0" w:type="dxa"/>
            </w:tcMar>
          </w:tcPr>
          <w:p w14:paraId="4693A266" w14:textId="77777777" w:rsidR="00E7028F" w:rsidRPr="00E7028F" w:rsidRDefault="00E7028F" w:rsidP="00E7028F">
            <w:pPr>
              <w:spacing w:after="0"/>
              <w:ind w:left="426"/>
            </w:pPr>
            <w:r w:rsidRPr="00E7028F">
              <w:t>661</w:t>
            </w:r>
          </w:p>
        </w:tc>
        <w:tc>
          <w:tcPr>
            <w:tcW w:w="1417" w:type="dxa"/>
          </w:tcPr>
          <w:p w14:paraId="28C9EFC8" w14:textId="77777777" w:rsidR="00E7028F" w:rsidRPr="00E7028F" w:rsidRDefault="00E7028F" w:rsidP="00E7028F">
            <w:pPr>
              <w:spacing w:after="0"/>
              <w:ind w:left="321"/>
              <w:jc w:val="left"/>
              <w:rPr>
                <w:szCs w:val="17"/>
              </w:rPr>
            </w:pPr>
            <w:r w:rsidRPr="00E7028F">
              <w:rPr>
                <w:szCs w:val="17"/>
              </w:rPr>
              <w:t>D4581</w:t>
            </w:r>
          </w:p>
        </w:tc>
        <w:tc>
          <w:tcPr>
            <w:tcW w:w="1422" w:type="dxa"/>
          </w:tcPr>
          <w:p w14:paraId="6600A57E" w14:textId="77777777" w:rsidR="00E7028F" w:rsidRPr="00E7028F" w:rsidRDefault="00E7028F" w:rsidP="00E7028F">
            <w:pPr>
              <w:spacing w:after="0"/>
              <w:ind w:left="319"/>
              <w:jc w:val="left"/>
              <w:rPr>
                <w:szCs w:val="17"/>
              </w:rPr>
            </w:pPr>
            <w:r w:rsidRPr="00E7028F">
              <w:rPr>
                <w:szCs w:val="17"/>
              </w:rPr>
              <w:t>A269</w:t>
            </w:r>
          </w:p>
        </w:tc>
      </w:tr>
      <w:tr w:rsidR="00E7028F" w:rsidRPr="00E7028F" w14:paraId="018FFD54" w14:textId="77777777" w:rsidTr="000E227A">
        <w:tc>
          <w:tcPr>
            <w:tcW w:w="4111" w:type="dxa"/>
          </w:tcPr>
          <w:p w14:paraId="5B464096" w14:textId="77777777" w:rsidR="00E7028F" w:rsidRPr="00E7028F" w:rsidRDefault="00E7028F" w:rsidP="00E7028F">
            <w:pPr>
              <w:spacing w:after="0"/>
              <w:rPr>
                <w:szCs w:val="17"/>
              </w:rPr>
            </w:pPr>
            <w:r w:rsidRPr="00E7028F">
              <w:rPr>
                <w:szCs w:val="17"/>
              </w:rPr>
              <w:t>68 Matthews Ave, Seaton</w:t>
            </w:r>
          </w:p>
        </w:tc>
        <w:tc>
          <w:tcPr>
            <w:tcW w:w="1276" w:type="dxa"/>
          </w:tcPr>
          <w:p w14:paraId="3128AF15" w14:textId="77777777" w:rsidR="00E7028F" w:rsidRPr="00E7028F" w:rsidRDefault="00E7028F" w:rsidP="00E7028F">
            <w:pPr>
              <w:spacing w:after="0"/>
              <w:jc w:val="center"/>
              <w:rPr>
                <w:szCs w:val="17"/>
              </w:rPr>
            </w:pPr>
            <w:r w:rsidRPr="00E7028F">
              <w:rPr>
                <w:szCs w:val="17"/>
              </w:rPr>
              <w:t>CT6296</w:t>
            </w:r>
          </w:p>
        </w:tc>
        <w:tc>
          <w:tcPr>
            <w:tcW w:w="1134" w:type="dxa"/>
            <w:tcMar>
              <w:left w:w="0" w:type="dxa"/>
              <w:right w:w="0" w:type="dxa"/>
            </w:tcMar>
          </w:tcPr>
          <w:p w14:paraId="00D18463" w14:textId="77777777" w:rsidR="00E7028F" w:rsidRPr="00E7028F" w:rsidRDefault="00E7028F" w:rsidP="00E7028F">
            <w:pPr>
              <w:spacing w:after="0"/>
              <w:ind w:left="426"/>
            </w:pPr>
            <w:r w:rsidRPr="00E7028F">
              <w:t>661</w:t>
            </w:r>
          </w:p>
        </w:tc>
        <w:tc>
          <w:tcPr>
            <w:tcW w:w="1417" w:type="dxa"/>
          </w:tcPr>
          <w:p w14:paraId="00D06F95" w14:textId="77777777" w:rsidR="00E7028F" w:rsidRPr="00E7028F" w:rsidRDefault="00E7028F" w:rsidP="00E7028F">
            <w:pPr>
              <w:spacing w:after="0"/>
              <w:ind w:left="321"/>
              <w:jc w:val="left"/>
              <w:rPr>
                <w:szCs w:val="17"/>
              </w:rPr>
            </w:pPr>
            <w:r w:rsidRPr="00E7028F">
              <w:rPr>
                <w:szCs w:val="17"/>
              </w:rPr>
              <w:t>D4581</w:t>
            </w:r>
          </w:p>
        </w:tc>
        <w:tc>
          <w:tcPr>
            <w:tcW w:w="1422" w:type="dxa"/>
            <w:tcMar>
              <w:right w:w="0" w:type="dxa"/>
            </w:tcMar>
          </w:tcPr>
          <w:p w14:paraId="575561A6" w14:textId="77777777" w:rsidR="00E7028F" w:rsidRPr="00E7028F" w:rsidRDefault="00E7028F" w:rsidP="00E7028F">
            <w:pPr>
              <w:spacing w:after="0"/>
              <w:ind w:left="319"/>
              <w:jc w:val="left"/>
              <w:rPr>
                <w:szCs w:val="17"/>
              </w:rPr>
            </w:pPr>
            <w:r w:rsidRPr="00E7028F">
              <w:rPr>
                <w:szCs w:val="17"/>
              </w:rPr>
              <w:t>A269 &amp; A270</w:t>
            </w:r>
          </w:p>
        </w:tc>
      </w:tr>
      <w:tr w:rsidR="00E7028F" w:rsidRPr="00E7028F" w14:paraId="1B0F58DA" w14:textId="77777777" w:rsidTr="000E227A">
        <w:tc>
          <w:tcPr>
            <w:tcW w:w="4111" w:type="dxa"/>
          </w:tcPr>
          <w:p w14:paraId="0BF6267B" w14:textId="77777777" w:rsidR="00E7028F" w:rsidRPr="00E7028F" w:rsidRDefault="00E7028F" w:rsidP="00E7028F">
            <w:pPr>
              <w:spacing w:after="0"/>
              <w:rPr>
                <w:szCs w:val="17"/>
              </w:rPr>
            </w:pPr>
            <w:r w:rsidRPr="00E7028F">
              <w:rPr>
                <w:szCs w:val="17"/>
              </w:rPr>
              <w:t>66 Matthews Ave, Seaton</w:t>
            </w:r>
          </w:p>
        </w:tc>
        <w:tc>
          <w:tcPr>
            <w:tcW w:w="1276" w:type="dxa"/>
          </w:tcPr>
          <w:p w14:paraId="7D2F018A" w14:textId="77777777" w:rsidR="00E7028F" w:rsidRPr="00E7028F" w:rsidRDefault="00E7028F" w:rsidP="00E7028F">
            <w:pPr>
              <w:spacing w:after="0"/>
              <w:jc w:val="center"/>
              <w:rPr>
                <w:szCs w:val="17"/>
              </w:rPr>
            </w:pPr>
            <w:r w:rsidRPr="00E7028F">
              <w:rPr>
                <w:szCs w:val="17"/>
              </w:rPr>
              <w:t>CT6296</w:t>
            </w:r>
          </w:p>
        </w:tc>
        <w:tc>
          <w:tcPr>
            <w:tcW w:w="1134" w:type="dxa"/>
            <w:tcMar>
              <w:left w:w="0" w:type="dxa"/>
              <w:right w:w="0" w:type="dxa"/>
            </w:tcMar>
          </w:tcPr>
          <w:p w14:paraId="0F5B1411" w14:textId="77777777" w:rsidR="00E7028F" w:rsidRPr="00E7028F" w:rsidRDefault="00E7028F" w:rsidP="00E7028F">
            <w:pPr>
              <w:spacing w:after="0"/>
              <w:ind w:left="426"/>
            </w:pPr>
            <w:r w:rsidRPr="00E7028F">
              <w:t>661</w:t>
            </w:r>
          </w:p>
        </w:tc>
        <w:tc>
          <w:tcPr>
            <w:tcW w:w="1417" w:type="dxa"/>
          </w:tcPr>
          <w:p w14:paraId="341D94E3" w14:textId="77777777" w:rsidR="00E7028F" w:rsidRPr="00E7028F" w:rsidRDefault="00E7028F" w:rsidP="00E7028F">
            <w:pPr>
              <w:spacing w:after="0"/>
              <w:ind w:left="321"/>
              <w:jc w:val="left"/>
              <w:rPr>
                <w:szCs w:val="17"/>
              </w:rPr>
            </w:pPr>
            <w:r w:rsidRPr="00E7028F">
              <w:rPr>
                <w:szCs w:val="17"/>
              </w:rPr>
              <w:t>D4581</w:t>
            </w:r>
          </w:p>
        </w:tc>
        <w:tc>
          <w:tcPr>
            <w:tcW w:w="1422" w:type="dxa"/>
          </w:tcPr>
          <w:p w14:paraId="6DE59198" w14:textId="77777777" w:rsidR="00E7028F" w:rsidRPr="00E7028F" w:rsidRDefault="00E7028F" w:rsidP="00E7028F">
            <w:pPr>
              <w:spacing w:after="0"/>
              <w:ind w:left="319"/>
              <w:jc w:val="left"/>
              <w:rPr>
                <w:szCs w:val="17"/>
              </w:rPr>
            </w:pPr>
            <w:r w:rsidRPr="00E7028F">
              <w:rPr>
                <w:szCs w:val="17"/>
              </w:rPr>
              <w:t>A271</w:t>
            </w:r>
          </w:p>
        </w:tc>
      </w:tr>
      <w:tr w:rsidR="00E7028F" w:rsidRPr="00E7028F" w14:paraId="33E19AC0" w14:textId="77777777" w:rsidTr="000E227A">
        <w:tc>
          <w:tcPr>
            <w:tcW w:w="4111" w:type="dxa"/>
          </w:tcPr>
          <w:p w14:paraId="36D05493" w14:textId="77777777" w:rsidR="00E7028F" w:rsidRPr="00E7028F" w:rsidRDefault="00E7028F" w:rsidP="00E7028F">
            <w:pPr>
              <w:spacing w:after="0"/>
              <w:rPr>
                <w:szCs w:val="17"/>
              </w:rPr>
            </w:pPr>
            <w:r w:rsidRPr="00E7028F">
              <w:rPr>
                <w:szCs w:val="17"/>
              </w:rPr>
              <w:t>Lot 19 Parker Ave, Seaton</w:t>
            </w:r>
          </w:p>
        </w:tc>
        <w:tc>
          <w:tcPr>
            <w:tcW w:w="1276" w:type="dxa"/>
          </w:tcPr>
          <w:p w14:paraId="714959C6" w14:textId="77777777" w:rsidR="00E7028F" w:rsidRPr="00E7028F" w:rsidRDefault="00E7028F" w:rsidP="00E7028F">
            <w:pPr>
              <w:spacing w:after="0"/>
              <w:jc w:val="center"/>
              <w:rPr>
                <w:szCs w:val="17"/>
              </w:rPr>
            </w:pPr>
            <w:r w:rsidRPr="00E7028F">
              <w:rPr>
                <w:szCs w:val="17"/>
              </w:rPr>
              <w:t>CT5679</w:t>
            </w:r>
          </w:p>
        </w:tc>
        <w:tc>
          <w:tcPr>
            <w:tcW w:w="1134" w:type="dxa"/>
            <w:tcMar>
              <w:left w:w="0" w:type="dxa"/>
              <w:right w:w="0" w:type="dxa"/>
            </w:tcMar>
          </w:tcPr>
          <w:p w14:paraId="260600FC" w14:textId="77777777" w:rsidR="00E7028F" w:rsidRPr="00E7028F" w:rsidRDefault="00E7028F" w:rsidP="00E7028F">
            <w:pPr>
              <w:spacing w:after="0"/>
              <w:ind w:left="426"/>
            </w:pPr>
            <w:r w:rsidRPr="00E7028F">
              <w:t>52</w:t>
            </w:r>
          </w:p>
        </w:tc>
        <w:tc>
          <w:tcPr>
            <w:tcW w:w="1417" w:type="dxa"/>
          </w:tcPr>
          <w:p w14:paraId="4F60875B" w14:textId="77777777" w:rsidR="00E7028F" w:rsidRPr="00E7028F" w:rsidRDefault="00E7028F" w:rsidP="00E7028F">
            <w:pPr>
              <w:spacing w:after="0"/>
              <w:ind w:left="321"/>
              <w:jc w:val="left"/>
              <w:rPr>
                <w:szCs w:val="17"/>
              </w:rPr>
            </w:pPr>
            <w:r w:rsidRPr="00E7028F">
              <w:rPr>
                <w:szCs w:val="17"/>
              </w:rPr>
              <w:t>D4581</w:t>
            </w:r>
          </w:p>
        </w:tc>
        <w:tc>
          <w:tcPr>
            <w:tcW w:w="1422" w:type="dxa"/>
          </w:tcPr>
          <w:p w14:paraId="453596A9" w14:textId="77777777" w:rsidR="00E7028F" w:rsidRPr="00E7028F" w:rsidRDefault="00E7028F" w:rsidP="00E7028F">
            <w:pPr>
              <w:spacing w:after="0"/>
              <w:ind w:left="319"/>
              <w:jc w:val="left"/>
              <w:rPr>
                <w:szCs w:val="17"/>
              </w:rPr>
            </w:pPr>
            <w:r w:rsidRPr="00E7028F">
              <w:rPr>
                <w:szCs w:val="17"/>
              </w:rPr>
              <w:t>A19</w:t>
            </w:r>
          </w:p>
        </w:tc>
      </w:tr>
      <w:tr w:rsidR="00E7028F" w:rsidRPr="00E7028F" w14:paraId="1BA0AF54" w14:textId="77777777" w:rsidTr="000E227A">
        <w:tc>
          <w:tcPr>
            <w:tcW w:w="4111" w:type="dxa"/>
          </w:tcPr>
          <w:p w14:paraId="70FA8AEB" w14:textId="77777777" w:rsidR="00E7028F" w:rsidRPr="00E7028F" w:rsidRDefault="00E7028F" w:rsidP="00E7028F">
            <w:pPr>
              <w:spacing w:after="0"/>
              <w:rPr>
                <w:szCs w:val="17"/>
              </w:rPr>
            </w:pPr>
            <w:r w:rsidRPr="00E7028F">
              <w:rPr>
                <w:szCs w:val="17"/>
              </w:rPr>
              <w:t>Lot 20 Parker Ave, Seaton</w:t>
            </w:r>
          </w:p>
        </w:tc>
        <w:tc>
          <w:tcPr>
            <w:tcW w:w="1276" w:type="dxa"/>
          </w:tcPr>
          <w:p w14:paraId="56B04B09" w14:textId="77777777" w:rsidR="00E7028F" w:rsidRPr="00E7028F" w:rsidRDefault="00E7028F" w:rsidP="00E7028F">
            <w:pPr>
              <w:spacing w:after="0"/>
              <w:jc w:val="center"/>
              <w:rPr>
                <w:szCs w:val="17"/>
              </w:rPr>
            </w:pPr>
            <w:r w:rsidRPr="00E7028F">
              <w:rPr>
                <w:szCs w:val="17"/>
              </w:rPr>
              <w:t>CT5679</w:t>
            </w:r>
          </w:p>
        </w:tc>
        <w:tc>
          <w:tcPr>
            <w:tcW w:w="1134" w:type="dxa"/>
            <w:tcMar>
              <w:left w:w="0" w:type="dxa"/>
              <w:right w:w="0" w:type="dxa"/>
            </w:tcMar>
          </w:tcPr>
          <w:p w14:paraId="443B873D" w14:textId="77777777" w:rsidR="00E7028F" w:rsidRPr="00E7028F" w:rsidRDefault="00E7028F" w:rsidP="00E7028F">
            <w:pPr>
              <w:spacing w:after="0"/>
              <w:ind w:left="426"/>
            </w:pPr>
            <w:r w:rsidRPr="00E7028F">
              <w:t>52</w:t>
            </w:r>
          </w:p>
        </w:tc>
        <w:tc>
          <w:tcPr>
            <w:tcW w:w="1417" w:type="dxa"/>
          </w:tcPr>
          <w:p w14:paraId="3AC00960" w14:textId="77777777" w:rsidR="00E7028F" w:rsidRPr="00E7028F" w:rsidRDefault="00E7028F" w:rsidP="00E7028F">
            <w:pPr>
              <w:spacing w:after="0"/>
              <w:ind w:left="321"/>
              <w:jc w:val="left"/>
              <w:rPr>
                <w:szCs w:val="17"/>
              </w:rPr>
            </w:pPr>
            <w:r w:rsidRPr="00E7028F">
              <w:rPr>
                <w:szCs w:val="17"/>
              </w:rPr>
              <w:t>D4581</w:t>
            </w:r>
          </w:p>
        </w:tc>
        <w:tc>
          <w:tcPr>
            <w:tcW w:w="1422" w:type="dxa"/>
          </w:tcPr>
          <w:p w14:paraId="74347606" w14:textId="77777777" w:rsidR="00E7028F" w:rsidRPr="00E7028F" w:rsidRDefault="00E7028F" w:rsidP="00E7028F">
            <w:pPr>
              <w:spacing w:after="0"/>
              <w:ind w:left="319"/>
              <w:jc w:val="left"/>
              <w:rPr>
                <w:szCs w:val="17"/>
              </w:rPr>
            </w:pPr>
            <w:r w:rsidRPr="00E7028F">
              <w:rPr>
                <w:szCs w:val="17"/>
              </w:rPr>
              <w:t>A20</w:t>
            </w:r>
          </w:p>
        </w:tc>
      </w:tr>
      <w:tr w:rsidR="00E7028F" w:rsidRPr="00E7028F" w14:paraId="1A9E10A2" w14:textId="77777777" w:rsidTr="000E227A">
        <w:tc>
          <w:tcPr>
            <w:tcW w:w="4111" w:type="dxa"/>
          </w:tcPr>
          <w:p w14:paraId="7E72F9C3" w14:textId="77777777" w:rsidR="00E7028F" w:rsidRPr="00E7028F" w:rsidRDefault="00E7028F" w:rsidP="00E7028F">
            <w:pPr>
              <w:spacing w:after="0"/>
              <w:rPr>
                <w:szCs w:val="17"/>
              </w:rPr>
            </w:pPr>
            <w:r w:rsidRPr="00E7028F">
              <w:rPr>
                <w:szCs w:val="17"/>
              </w:rPr>
              <w:t>18 Parker Ave, Seaton</w:t>
            </w:r>
          </w:p>
        </w:tc>
        <w:tc>
          <w:tcPr>
            <w:tcW w:w="1276" w:type="dxa"/>
          </w:tcPr>
          <w:p w14:paraId="1BE49C49" w14:textId="77777777" w:rsidR="00E7028F" w:rsidRPr="00E7028F" w:rsidRDefault="00E7028F" w:rsidP="00E7028F">
            <w:pPr>
              <w:spacing w:after="0"/>
              <w:jc w:val="center"/>
              <w:rPr>
                <w:szCs w:val="17"/>
              </w:rPr>
            </w:pPr>
            <w:r w:rsidRPr="00E7028F">
              <w:rPr>
                <w:szCs w:val="17"/>
              </w:rPr>
              <w:t>CT5893</w:t>
            </w:r>
          </w:p>
        </w:tc>
        <w:tc>
          <w:tcPr>
            <w:tcW w:w="1134" w:type="dxa"/>
            <w:tcMar>
              <w:left w:w="0" w:type="dxa"/>
              <w:right w:w="0" w:type="dxa"/>
            </w:tcMar>
          </w:tcPr>
          <w:p w14:paraId="2C4C6C78" w14:textId="77777777" w:rsidR="00E7028F" w:rsidRPr="00E7028F" w:rsidRDefault="00E7028F" w:rsidP="00E7028F">
            <w:pPr>
              <w:spacing w:after="0"/>
              <w:ind w:left="426"/>
            </w:pPr>
            <w:r w:rsidRPr="00E7028F">
              <w:t>697</w:t>
            </w:r>
          </w:p>
        </w:tc>
        <w:tc>
          <w:tcPr>
            <w:tcW w:w="1417" w:type="dxa"/>
          </w:tcPr>
          <w:p w14:paraId="0AEA0A2B" w14:textId="77777777" w:rsidR="00E7028F" w:rsidRPr="00E7028F" w:rsidRDefault="00E7028F" w:rsidP="00E7028F">
            <w:pPr>
              <w:spacing w:after="0"/>
              <w:ind w:left="321"/>
              <w:jc w:val="left"/>
              <w:rPr>
                <w:szCs w:val="17"/>
              </w:rPr>
            </w:pPr>
            <w:r w:rsidRPr="00E7028F">
              <w:rPr>
                <w:szCs w:val="17"/>
              </w:rPr>
              <w:t>D4581</w:t>
            </w:r>
          </w:p>
        </w:tc>
        <w:tc>
          <w:tcPr>
            <w:tcW w:w="1422" w:type="dxa"/>
          </w:tcPr>
          <w:p w14:paraId="4F94CD8A" w14:textId="77777777" w:rsidR="00E7028F" w:rsidRPr="00E7028F" w:rsidRDefault="00E7028F" w:rsidP="00E7028F">
            <w:pPr>
              <w:spacing w:after="0"/>
              <w:ind w:left="319"/>
              <w:jc w:val="left"/>
              <w:rPr>
                <w:szCs w:val="17"/>
              </w:rPr>
            </w:pPr>
            <w:r w:rsidRPr="00E7028F">
              <w:rPr>
                <w:szCs w:val="17"/>
              </w:rPr>
              <w:t>A21</w:t>
            </w:r>
          </w:p>
        </w:tc>
      </w:tr>
      <w:tr w:rsidR="00E7028F" w:rsidRPr="00E7028F" w14:paraId="1113FCEE" w14:textId="77777777" w:rsidTr="000E227A">
        <w:tc>
          <w:tcPr>
            <w:tcW w:w="4111" w:type="dxa"/>
          </w:tcPr>
          <w:p w14:paraId="3CF0E71A" w14:textId="77777777" w:rsidR="00E7028F" w:rsidRPr="00E7028F" w:rsidRDefault="00E7028F" w:rsidP="00E7028F">
            <w:pPr>
              <w:spacing w:after="0"/>
              <w:rPr>
                <w:szCs w:val="17"/>
              </w:rPr>
            </w:pPr>
            <w:r w:rsidRPr="00E7028F">
              <w:rPr>
                <w:szCs w:val="17"/>
              </w:rPr>
              <w:t>16 Parker Ave, Seaton</w:t>
            </w:r>
          </w:p>
        </w:tc>
        <w:tc>
          <w:tcPr>
            <w:tcW w:w="1276" w:type="dxa"/>
          </w:tcPr>
          <w:p w14:paraId="00DE9888" w14:textId="77777777" w:rsidR="00E7028F" w:rsidRPr="00E7028F" w:rsidRDefault="00E7028F" w:rsidP="00E7028F">
            <w:pPr>
              <w:spacing w:after="0"/>
              <w:jc w:val="center"/>
              <w:rPr>
                <w:szCs w:val="17"/>
              </w:rPr>
            </w:pPr>
            <w:r w:rsidRPr="00E7028F">
              <w:rPr>
                <w:szCs w:val="17"/>
              </w:rPr>
              <w:t>CT5893</w:t>
            </w:r>
          </w:p>
        </w:tc>
        <w:tc>
          <w:tcPr>
            <w:tcW w:w="1134" w:type="dxa"/>
            <w:tcMar>
              <w:left w:w="0" w:type="dxa"/>
              <w:right w:w="0" w:type="dxa"/>
            </w:tcMar>
          </w:tcPr>
          <w:p w14:paraId="768E42D7" w14:textId="77777777" w:rsidR="00E7028F" w:rsidRPr="00E7028F" w:rsidRDefault="00E7028F" w:rsidP="00E7028F">
            <w:pPr>
              <w:spacing w:after="0"/>
              <w:ind w:left="426"/>
            </w:pPr>
            <w:r w:rsidRPr="00E7028F">
              <w:t>697</w:t>
            </w:r>
          </w:p>
        </w:tc>
        <w:tc>
          <w:tcPr>
            <w:tcW w:w="1417" w:type="dxa"/>
          </w:tcPr>
          <w:p w14:paraId="4AA71D1B" w14:textId="77777777" w:rsidR="00E7028F" w:rsidRPr="00E7028F" w:rsidRDefault="00E7028F" w:rsidP="00E7028F">
            <w:pPr>
              <w:spacing w:after="0"/>
              <w:ind w:left="321"/>
              <w:jc w:val="left"/>
              <w:rPr>
                <w:szCs w:val="17"/>
              </w:rPr>
            </w:pPr>
            <w:r w:rsidRPr="00E7028F">
              <w:rPr>
                <w:szCs w:val="17"/>
              </w:rPr>
              <w:t>D4581</w:t>
            </w:r>
          </w:p>
        </w:tc>
        <w:tc>
          <w:tcPr>
            <w:tcW w:w="1422" w:type="dxa"/>
          </w:tcPr>
          <w:p w14:paraId="08146283" w14:textId="77777777" w:rsidR="00E7028F" w:rsidRPr="00E7028F" w:rsidRDefault="00E7028F" w:rsidP="00E7028F">
            <w:pPr>
              <w:spacing w:after="0"/>
              <w:ind w:left="319"/>
              <w:jc w:val="left"/>
              <w:rPr>
                <w:szCs w:val="17"/>
              </w:rPr>
            </w:pPr>
            <w:r w:rsidRPr="00E7028F">
              <w:rPr>
                <w:szCs w:val="17"/>
              </w:rPr>
              <w:t>A22</w:t>
            </w:r>
          </w:p>
        </w:tc>
      </w:tr>
      <w:tr w:rsidR="00E7028F" w:rsidRPr="00E7028F" w14:paraId="3AD70D7B" w14:textId="77777777" w:rsidTr="000E227A">
        <w:tc>
          <w:tcPr>
            <w:tcW w:w="4111" w:type="dxa"/>
          </w:tcPr>
          <w:p w14:paraId="46DAF8EC" w14:textId="77777777" w:rsidR="00E7028F" w:rsidRPr="00E7028F" w:rsidRDefault="00E7028F" w:rsidP="00E7028F">
            <w:pPr>
              <w:spacing w:after="0"/>
              <w:rPr>
                <w:szCs w:val="17"/>
              </w:rPr>
            </w:pPr>
            <w:r w:rsidRPr="00E7028F">
              <w:rPr>
                <w:szCs w:val="17"/>
              </w:rPr>
              <w:t>Lot 439 Harris Pl, Seaton</w:t>
            </w:r>
          </w:p>
        </w:tc>
        <w:tc>
          <w:tcPr>
            <w:tcW w:w="1276" w:type="dxa"/>
          </w:tcPr>
          <w:p w14:paraId="598C53FE"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777F2471" w14:textId="77777777" w:rsidR="00E7028F" w:rsidRPr="00E7028F" w:rsidRDefault="00E7028F" w:rsidP="00E7028F">
            <w:pPr>
              <w:spacing w:after="0"/>
              <w:ind w:left="426"/>
            </w:pPr>
            <w:r w:rsidRPr="00E7028F">
              <w:t>348</w:t>
            </w:r>
          </w:p>
        </w:tc>
        <w:tc>
          <w:tcPr>
            <w:tcW w:w="1417" w:type="dxa"/>
          </w:tcPr>
          <w:p w14:paraId="63A5F5D7" w14:textId="77777777" w:rsidR="00E7028F" w:rsidRPr="00E7028F" w:rsidRDefault="00E7028F" w:rsidP="00E7028F">
            <w:pPr>
              <w:spacing w:after="0"/>
              <w:ind w:left="321"/>
              <w:jc w:val="left"/>
              <w:rPr>
                <w:szCs w:val="17"/>
              </w:rPr>
            </w:pPr>
            <w:r w:rsidRPr="00E7028F">
              <w:rPr>
                <w:szCs w:val="17"/>
              </w:rPr>
              <w:t>F13442</w:t>
            </w:r>
          </w:p>
        </w:tc>
        <w:tc>
          <w:tcPr>
            <w:tcW w:w="1422" w:type="dxa"/>
          </w:tcPr>
          <w:p w14:paraId="70D51D6F" w14:textId="77777777" w:rsidR="00E7028F" w:rsidRPr="00E7028F" w:rsidRDefault="00E7028F" w:rsidP="00E7028F">
            <w:pPr>
              <w:spacing w:after="0"/>
              <w:ind w:left="319"/>
              <w:jc w:val="left"/>
              <w:rPr>
                <w:szCs w:val="17"/>
              </w:rPr>
            </w:pPr>
            <w:r w:rsidRPr="00E7028F">
              <w:rPr>
                <w:szCs w:val="17"/>
              </w:rPr>
              <w:t>A439</w:t>
            </w:r>
          </w:p>
        </w:tc>
      </w:tr>
      <w:tr w:rsidR="00E7028F" w:rsidRPr="00E7028F" w14:paraId="34A2804E" w14:textId="77777777" w:rsidTr="000E227A">
        <w:tc>
          <w:tcPr>
            <w:tcW w:w="4111" w:type="dxa"/>
          </w:tcPr>
          <w:p w14:paraId="672CFFB9" w14:textId="77777777" w:rsidR="00E7028F" w:rsidRPr="00E7028F" w:rsidRDefault="00E7028F" w:rsidP="00E7028F">
            <w:pPr>
              <w:spacing w:after="0"/>
              <w:rPr>
                <w:szCs w:val="17"/>
              </w:rPr>
            </w:pPr>
            <w:r w:rsidRPr="00E7028F">
              <w:rPr>
                <w:szCs w:val="17"/>
              </w:rPr>
              <w:t>Lot 43 Pedlar St, Seaton</w:t>
            </w:r>
          </w:p>
        </w:tc>
        <w:tc>
          <w:tcPr>
            <w:tcW w:w="1276" w:type="dxa"/>
          </w:tcPr>
          <w:p w14:paraId="445B4675" w14:textId="77777777" w:rsidR="00E7028F" w:rsidRPr="00E7028F" w:rsidRDefault="00E7028F" w:rsidP="00E7028F">
            <w:pPr>
              <w:spacing w:after="0"/>
              <w:jc w:val="center"/>
              <w:rPr>
                <w:szCs w:val="17"/>
              </w:rPr>
            </w:pPr>
            <w:r w:rsidRPr="00E7028F">
              <w:rPr>
                <w:szCs w:val="17"/>
              </w:rPr>
              <w:t>CT5979</w:t>
            </w:r>
          </w:p>
        </w:tc>
        <w:tc>
          <w:tcPr>
            <w:tcW w:w="1134" w:type="dxa"/>
            <w:tcMar>
              <w:left w:w="0" w:type="dxa"/>
              <w:right w:w="0" w:type="dxa"/>
            </w:tcMar>
          </w:tcPr>
          <w:p w14:paraId="7CAABFB5" w14:textId="77777777" w:rsidR="00E7028F" w:rsidRPr="00E7028F" w:rsidRDefault="00E7028F" w:rsidP="00E7028F">
            <w:pPr>
              <w:spacing w:after="0"/>
              <w:ind w:left="426"/>
            </w:pPr>
            <w:r w:rsidRPr="00E7028F">
              <w:t>436</w:t>
            </w:r>
          </w:p>
        </w:tc>
        <w:tc>
          <w:tcPr>
            <w:tcW w:w="1417" w:type="dxa"/>
          </w:tcPr>
          <w:p w14:paraId="3D896E5A" w14:textId="77777777" w:rsidR="00E7028F" w:rsidRPr="00E7028F" w:rsidRDefault="00E7028F" w:rsidP="00E7028F">
            <w:pPr>
              <w:spacing w:after="0"/>
              <w:ind w:left="321"/>
              <w:jc w:val="left"/>
              <w:rPr>
                <w:szCs w:val="17"/>
              </w:rPr>
            </w:pPr>
            <w:r w:rsidRPr="00E7028F">
              <w:rPr>
                <w:szCs w:val="17"/>
              </w:rPr>
              <w:t>D4581</w:t>
            </w:r>
          </w:p>
        </w:tc>
        <w:tc>
          <w:tcPr>
            <w:tcW w:w="1422" w:type="dxa"/>
          </w:tcPr>
          <w:p w14:paraId="5C5B463D" w14:textId="77777777" w:rsidR="00E7028F" w:rsidRPr="00E7028F" w:rsidRDefault="00E7028F" w:rsidP="00E7028F">
            <w:pPr>
              <w:spacing w:after="0"/>
              <w:ind w:left="319"/>
              <w:jc w:val="left"/>
              <w:rPr>
                <w:szCs w:val="17"/>
              </w:rPr>
            </w:pPr>
            <w:r w:rsidRPr="00E7028F">
              <w:rPr>
                <w:szCs w:val="17"/>
              </w:rPr>
              <w:t>A43</w:t>
            </w:r>
          </w:p>
        </w:tc>
      </w:tr>
      <w:tr w:rsidR="00E7028F" w:rsidRPr="00E7028F" w14:paraId="2E66FE2E" w14:textId="77777777" w:rsidTr="000E227A">
        <w:tc>
          <w:tcPr>
            <w:tcW w:w="4111" w:type="dxa"/>
          </w:tcPr>
          <w:p w14:paraId="59210AA0" w14:textId="77777777" w:rsidR="00E7028F" w:rsidRPr="00E7028F" w:rsidRDefault="00E7028F" w:rsidP="00E7028F">
            <w:pPr>
              <w:spacing w:after="0"/>
              <w:rPr>
                <w:szCs w:val="17"/>
              </w:rPr>
            </w:pPr>
            <w:r w:rsidRPr="00E7028F">
              <w:rPr>
                <w:szCs w:val="17"/>
              </w:rPr>
              <w:t>Lot 42 Pedlar St, Seaton</w:t>
            </w:r>
          </w:p>
        </w:tc>
        <w:tc>
          <w:tcPr>
            <w:tcW w:w="1276" w:type="dxa"/>
          </w:tcPr>
          <w:p w14:paraId="63A1713E" w14:textId="77777777" w:rsidR="00E7028F" w:rsidRPr="00E7028F" w:rsidRDefault="00E7028F" w:rsidP="00E7028F">
            <w:pPr>
              <w:spacing w:after="0"/>
              <w:jc w:val="center"/>
              <w:rPr>
                <w:szCs w:val="17"/>
              </w:rPr>
            </w:pPr>
            <w:r w:rsidRPr="00E7028F">
              <w:rPr>
                <w:szCs w:val="17"/>
              </w:rPr>
              <w:t>CT5979</w:t>
            </w:r>
          </w:p>
        </w:tc>
        <w:tc>
          <w:tcPr>
            <w:tcW w:w="1134" w:type="dxa"/>
            <w:tcMar>
              <w:left w:w="0" w:type="dxa"/>
              <w:right w:w="0" w:type="dxa"/>
            </w:tcMar>
          </w:tcPr>
          <w:p w14:paraId="43823E8D" w14:textId="77777777" w:rsidR="00E7028F" w:rsidRPr="00E7028F" w:rsidRDefault="00E7028F" w:rsidP="00E7028F">
            <w:pPr>
              <w:spacing w:after="0"/>
              <w:ind w:left="426"/>
            </w:pPr>
            <w:r w:rsidRPr="00E7028F">
              <w:t>436</w:t>
            </w:r>
          </w:p>
        </w:tc>
        <w:tc>
          <w:tcPr>
            <w:tcW w:w="1417" w:type="dxa"/>
          </w:tcPr>
          <w:p w14:paraId="76A677B1" w14:textId="77777777" w:rsidR="00E7028F" w:rsidRPr="00E7028F" w:rsidRDefault="00E7028F" w:rsidP="00E7028F">
            <w:pPr>
              <w:spacing w:after="0"/>
              <w:ind w:left="321"/>
              <w:jc w:val="left"/>
              <w:rPr>
                <w:szCs w:val="17"/>
              </w:rPr>
            </w:pPr>
            <w:r w:rsidRPr="00E7028F">
              <w:rPr>
                <w:szCs w:val="17"/>
              </w:rPr>
              <w:t>D4581</w:t>
            </w:r>
          </w:p>
        </w:tc>
        <w:tc>
          <w:tcPr>
            <w:tcW w:w="1422" w:type="dxa"/>
          </w:tcPr>
          <w:p w14:paraId="6B4AC4A6" w14:textId="77777777" w:rsidR="00E7028F" w:rsidRPr="00E7028F" w:rsidRDefault="00E7028F" w:rsidP="00E7028F">
            <w:pPr>
              <w:spacing w:after="0"/>
              <w:ind w:left="319"/>
              <w:jc w:val="left"/>
              <w:rPr>
                <w:szCs w:val="17"/>
              </w:rPr>
            </w:pPr>
            <w:r w:rsidRPr="00E7028F">
              <w:rPr>
                <w:szCs w:val="17"/>
              </w:rPr>
              <w:t>A42</w:t>
            </w:r>
          </w:p>
        </w:tc>
      </w:tr>
      <w:tr w:rsidR="00E7028F" w:rsidRPr="00E7028F" w14:paraId="36563DD2" w14:textId="77777777" w:rsidTr="000E227A">
        <w:tc>
          <w:tcPr>
            <w:tcW w:w="4111" w:type="dxa"/>
          </w:tcPr>
          <w:p w14:paraId="4031F783" w14:textId="77777777" w:rsidR="00E7028F" w:rsidRPr="00E7028F" w:rsidRDefault="00E7028F" w:rsidP="00E7028F">
            <w:pPr>
              <w:spacing w:after="0"/>
              <w:rPr>
                <w:szCs w:val="17"/>
              </w:rPr>
            </w:pPr>
            <w:r w:rsidRPr="00E7028F">
              <w:rPr>
                <w:szCs w:val="17"/>
              </w:rPr>
              <w:t>89 Pedlar St, Seaton</w:t>
            </w:r>
          </w:p>
        </w:tc>
        <w:tc>
          <w:tcPr>
            <w:tcW w:w="1276" w:type="dxa"/>
          </w:tcPr>
          <w:p w14:paraId="57F13D65" w14:textId="77777777" w:rsidR="00E7028F" w:rsidRPr="00E7028F" w:rsidRDefault="00E7028F" w:rsidP="00E7028F">
            <w:pPr>
              <w:spacing w:after="0"/>
              <w:jc w:val="center"/>
              <w:rPr>
                <w:szCs w:val="17"/>
              </w:rPr>
            </w:pPr>
            <w:r w:rsidRPr="00E7028F">
              <w:rPr>
                <w:szCs w:val="17"/>
              </w:rPr>
              <w:t>CT5979</w:t>
            </w:r>
          </w:p>
        </w:tc>
        <w:tc>
          <w:tcPr>
            <w:tcW w:w="1134" w:type="dxa"/>
            <w:tcMar>
              <w:left w:w="0" w:type="dxa"/>
              <w:right w:w="0" w:type="dxa"/>
            </w:tcMar>
          </w:tcPr>
          <w:p w14:paraId="5CCD3F9B" w14:textId="77777777" w:rsidR="00E7028F" w:rsidRPr="00E7028F" w:rsidRDefault="00E7028F" w:rsidP="00E7028F">
            <w:pPr>
              <w:spacing w:after="0"/>
              <w:ind w:left="426"/>
            </w:pPr>
            <w:r w:rsidRPr="00E7028F">
              <w:t>436</w:t>
            </w:r>
          </w:p>
        </w:tc>
        <w:tc>
          <w:tcPr>
            <w:tcW w:w="1417" w:type="dxa"/>
          </w:tcPr>
          <w:p w14:paraId="490DF713" w14:textId="77777777" w:rsidR="00E7028F" w:rsidRPr="00E7028F" w:rsidRDefault="00E7028F" w:rsidP="00E7028F">
            <w:pPr>
              <w:spacing w:after="0"/>
              <w:ind w:left="321"/>
              <w:jc w:val="left"/>
              <w:rPr>
                <w:szCs w:val="17"/>
              </w:rPr>
            </w:pPr>
            <w:r w:rsidRPr="00E7028F">
              <w:rPr>
                <w:szCs w:val="17"/>
              </w:rPr>
              <w:t>D4581</w:t>
            </w:r>
          </w:p>
        </w:tc>
        <w:tc>
          <w:tcPr>
            <w:tcW w:w="1422" w:type="dxa"/>
          </w:tcPr>
          <w:p w14:paraId="37CC5E9B" w14:textId="77777777" w:rsidR="00E7028F" w:rsidRPr="00E7028F" w:rsidRDefault="00E7028F" w:rsidP="00E7028F">
            <w:pPr>
              <w:spacing w:after="0"/>
              <w:ind w:left="319"/>
              <w:jc w:val="left"/>
              <w:rPr>
                <w:szCs w:val="17"/>
              </w:rPr>
            </w:pPr>
            <w:r w:rsidRPr="00E7028F">
              <w:rPr>
                <w:szCs w:val="17"/>
              </w:rPr>
              <w:t>A41</w:t>
            </w:r>
          </w:p>
        </w:tc>
      </w:tr>
      <w:tr w:rsidR="00E7028F" w:rsidRPr="00E7028F" w14:paraId="16345D87" w14:textId="77777777" w:rsidTr="000E227A">
        <w:tc>
          <w:tcPr>
            <w:tcW w:w="4111" w:type="dxa"/>
          </w:tcPr>
          <w:p w14:paraId="258E6F24" w14:textId="77777777" w:rsidR="00E7028F" w:rsidRPr="00E7028F" w:rsidRDefault="00E7028F" w:rsidP="00E7028F">
            <w:pPr>
              <w:spacing w:after="0"/>
              <w:rPr>
                <w:szCs w:val="17"/>
              </w:rPr>
            </w:pPr>
            <w:r w:rsidRPr="00E7028F">
              <w:rPr>
                <w:szCs w:val="17"/>
              </w:rPr>
              <w:t>91 Pedlar St, Seaton</w:t>
            </w:r>
          </w:p>
        </w:tc>
        <w:tc>
          <w:tcPr>
            <w:tcW w:w="1276" w:type="dxa"/>
          </w:tcPr>
          <w:p w14:paraId="644A875A"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1A376848" w14:textId="77777777" w:rsidR="00E7028F" w:rsidRPr="00E7028F" w:rsidRDefault="00E7028F" w:rsidP="00E7028F">
            <w:pPr>
              <w:spacing w:after="0"/>
              <w:ind w:left="426"/>
            </w:pPr>
            <w:r w:rsidRPr="00E7028F">
              <w:t>348</w:t>
            </w:r>
          </w:p>
        </w:tc>
        <w:tc>
          <w:tcPr>
            <w:tcW w:w="1417" w:type="dxa"/>
          </w:tcPr>
          <w:p w14:paraId="5AA84ACD" w14:textId="77777777" w:rsidR="00E7028F" w:rsidRPr="00E7028F" w:rsidRDefault="00E7028F" w:rsidP="00E7028F">
            <w:pPr>
              <w:spacing w:after="0"/>
              <w:ind w:left="321"/>
              <w:jc w:val="left"/>
              <w:rPr>
                <w:szCs w:val="17"/>
              </w:rPr>
            </w:pPr>
            <w:r w:rsidRPr="00E7028F">
              <w:rPr>
                <w:szCs w:val="17"/>
              </w:rPr>
              <w:t>F13442</w:t>
            </w:r>
          </w:p>
        </w:tc>
        <w:tc>
          <w:tcPr>
            <w:tcW w:w="1422" w:type="dxa"/>
          </w:tcPr>
          <w:p w14:paraId="054A809B" w14:textId="77777777" w:rsidR="00E7028F" w:rsidRPr="00E7028F" w:rsidRDefault="00E7028F" w:rsidP="00E7028F">
            <w:pPr>
              <w:spacing w:after="0"/>
              <w:ind w:left="319"/>
              <w:jc w:val="left"/>
              <w:rPr>
                <w:szCs w:val="17"/>
              </w:rPr>
            </w:pPr>
            <w:r w:rsidRPr="00E7028F">
              <w:rPr>
                <w:szCs w:val="17"/>
              </w:rPr>
              <w:t>A438</w:t>
            </w:r>
          </w:p>
        </w:tc>
      </w:tr>
      <w:tr w:rsidR="00E7028F" w:rsidRPr="00E7028F" w14:paraId="50FB2F5B" w14:textId="77777777" w:rsidTr="000E227A">
        <w:tc>
          <w:tcPr>
            <w:tcW w:w="4111" w:type="dxa"/>
          </w:tcPr>
          <w:p w14:paraId="71F4C5C1" w14:textId="6F3A7790" w:rsidR="00E7028F" w:rsidRPr="00E7028F" w:rsidRDefault="00252039" w:rsidP="00E7028F">
            <w:pPr>
              <w:spacing w:after="0"/>
              <w:rPr>
                <w:szCs w:val="17"/>
              </w:rPr>
            </w:pPr>
            <w:r>
              <w:rPr>
                <w:szCs w:val="17"/>
              </w:rPr>
              <w:t>L</w:t>
            </w:r>
            <w:r w:rsidR="00E7028F" w:rsidRPr="00E7028F">
              <w:rPr>
                <w:szCs w:val="17"/>
              </w:rPr>
              <w:t>ot 424 Pedlar St, Seaton</w:t>
            </w:r>
          </w:p>
        </w:tc>
        <w:tc>
          <w:tcPr>
            <w:tcW w:w="1276" w:type="dxa"/>
          </w:tcPr>
          <w:p w14:paraId="5653626A" w14:textId="77777777" w:rsidR="00E7028F" w:rsidRPr="00E7028F" w:rsidRDefault="00E7028F" w:rsidP="00E7028F">
            <w:pPr>
              <w:spacing w:after="0"/>
              <w:jc w:val="center"/>
              <w:rPr>
                <w:szCs w:val="17"/>
              </w:rPr>
            </w:pPr>
            <w:r w:rsidRPr="00E7028F">
              <w:rPr>
                <w:szCs w:val="17"/>
              </w:rPr>
              <w:t>CT5679</w:t>
            </w:r>
          </w:p>
        </w:tc>
        <w:tc>
          <w:tcPr>
            <w:tcW w:w="1134" w:type="dxa"/>
            <w:tcMar>
              <w:left w:w="0" w:type="dxa"/>
              <w:right w:w="0" w:type="dxa"/>
            </w:tcMar>
          </w:tcPr>
          <w:p w14:paraId="57F36C86" w14:textId="77777777" w:rsidR="00E7028F" w:rsidRPr="00E7028F" w:rsidRDefault="00E7028F" w:rsidP="00E7028F">
            <w:pPr>
              <w:spacing w:after="0"/>
              <w:ind w:left="426"/>
            </w:pPr>
            <w:r w:rsidRPr="00E7028F">
              <w:t>49</w:t>
            </w:r>
          </w:p>
        </w:tc>
        <w:tc>
          <w:tcPr>
            <w:tcW w:w="1417" w:type="dxa"/>
          </w:tcPr>
          <w:p w14:paraId="30973FBA" w14:textId="77777777" w:rsidR="00E7028F" w:rsidRPr="00E7028F" w:rsidRDefault="00E7028F" w:rsidP="00E7028F">
            <w:pPr>
              <w:spacing w:after="0"/>
              <w:ind w:left="321"/>
              <w:jc w:val="left"/>
              <w:rPr>
                <w:szCs w:val="17"/>
              </w:rPr>
            </w:pPr>
            <w:r w:rsidRPr="00E7028F">
              <w:rPr>
                <w:szCs w:val="17"/>
              </w:rPr>
              <w:t>F13442</w:t>
            </w:r>
          </w:p>
        </w:tc>
        <w:tc>
          <w:tcPr>
            <w:tcW w:w="1422" w:type="dxa"/>
          </w:tcPr>
          <w:p w14:paraId="35747D64" w14:textId="77777777" w:rsidR="00E7028F" w:rsidRPr="00E7028F" w:rsidRDefault="00E7028F" w:rsidP="00E7028F">
            <w:pPr>
              <w:spacing w:after="0"/>
              <w:ind w:left="319"/>
              <w:jc w:val="left"/>
              <w:rPr>
                <w:szCs w:val="17"/>
              </w:rPr>
            </w:pPr>
            <w:r w:rsidRPr="00E7028F">
              <w:rPr>
                <w:szCs w:val="17"/>
              </w:rPr>
              <w:t>A424</w:t>
            </w:r>
          </w:p>
        </w:tc>
      </w:tr>
      <w:tr w:rsidR="00E7028F" w:rsidRPr="00E7028F" w14:paraId="49322CBF" w14:textId="77777777" w:rsidTr="000E227A">
        <w:tc>
          <w:tcPr>
            <w:tcW w:w="4111" w:type="dxa"/>
          </w:tcPr>
          <w:p w14:paraId="4F54A195" w14:textId="5FC41433" w:rsidR="00E7028F" w:rsidRPr="00E7028F" w:rsidRDefault="00252039" w:rsidP="00E7028F">
            <w:pPr>
              <w:spacing w:after="0"/>
              <w:rPr>
                <w:szCs w:val="17"/>
              </w:rPr>
            </w:pPr>
            <w:r>
              <w:rPr>
                <w:szCs w:val="17"/>
              </w:rPr>
              <w:t>L</w:t>
            </w:r>
            <w:r w:rsidR="00E7028F" w:rsidRPr="00E7028F">
              <w:rPr>
                <w:szCs w:val="17"/>
              </w:rPr>
              <w:t>ot 425 Frederick Rd, Seaton</w:t>
            </w:r>
          </w:p>
        </w:tc>
        <w:tc>
          <w:tcPr>
            <w:tcW w:w="1276" w:type="dxa"/>
          </w:tcPr>
          <w:p w14:paraId="7CC79DB4" w14:textId="77777777" w:rsidR="00E7028F" w:rsidRPr="00E7028F" w:rsidRDefault="00E7028F" w:rsidP="00E7028F">
            <w:pPr>
              <w:spacing w:after="0"/>
              <w:jc w:val="center"/>
              <w:rPr>
                <w:szCs w:val="17"/>
              </w:rPr>
            </w:pPr>
            <w:r w:rsidRPr="00E7028F">
              <w:rPr>
                <w:szCs w:val="17"/>
              </w:rPr>
              <w:t>CT5679</w:t>
            </w:r>
          </w:p>
        </w:tc>
        <w:tc>
          <w:tcPr>
            <w:tcW w:w="1134" w:type="dxa"/>
            <w:tcMar>
              <w:left w:w="0" w:type="dxa"/>
              <w:right w:w="0" w:type="dxa"/>
            </w:tcMar>
          </w:tcPr>
          <w:p w14:paraId="10F9F4A9" w14:textId="77777777" w:rsidR="00E7028F" w:rsidRPr="00E7028F" w:rsidRDefault="00E7028F" w:rsidP="00E7028F">
            <w:pPr>
              <w:spacing w:after="0"/>
              <w:ind w:left="426"/>
            </w:pPr>
            <w:r w:rsidRPr="00E7028F">
              <w:t>49</w:t>
            </w:r>
          </w:p>
        </w:tc>
        <w:tc>
          <w:tcPr>
            <w:tcW w:w="1417" w:type="dxa"/>
          </w:tcPr>
          <w:p w14:paraId="602BAB05" w14:textId="77777777" w:rsidR="00E7028F" w:rsidRPr="00E7028F" w:rsidRDefault="00E7028F" w:rsidP="00E7028F">
            <w:pPr>
              <w:spacing w:after="0"/>
              <w:ind w:left="321"/>
              <w:jc w:val="left"/>
              <w:rPr>
                <w:szCs w:val="17"/>
              </w:rPr>
            </w:pPr>
            <w:r w:rsidRPr="00E7028F">
              <w:rPr>
                <w:szCs w:val="17"/>
              </w:rPr>
              <w:t>F13442</w:t>
            </w:r>
          </w:p>
        </w:tc>
        <w:tc>
          <w:tcPr>
            <w:tcW w:w="1422" w:type="dxa"/>
          </w:tcPr>
          <w:p w14:paraId="064CBE6E" w14:textId="77777777" w:rsidR="00E7028F" w:rsidRPr="00E7028F" w:rsidRDefault="00E7028F" w:rsidP="00E7028F">
            <w:pPr>
              <w:spacing w:after="0"/>
              <w:ind w:left="319"/>
              <w:jc w:val="left"/>
              <w:rPr>
                <w:szCs w:val="17"/>
              </w:rPr>
            </w:pPr>
            <w:r w:rsidRPr="00E7028F">
              <w:rPr>
                <w:szCs w:val="17"/>
              </w:rPr>
              <w:t>A425</w:t>
            </w:r>
          </w:p>
        </w:tc>
      </w:tr>
      <w:tr w:rsidR="00E7028F" w:rsidRPr="00E7028F" w14:paraId="5AEE2E6A" w14:textId="77777777" w:rsidTr="000E227A">
        <w:tc>
          <w:tcPr>
            <w:tcW w:w="4111" w:type="dxa"/>
          </w:tcPr>
          <w:p w14:paraId="24EB6A5D" w14:textId="77777777" w:rsidR="00E7028F" w:rsidRPr="00E7028F" w:rsidRDefault="00E7028F" w:rsidP="00E7028F">
            <w:pPr>
              <w:spacing w:after="0"/>
              <w:rPr>
                <w:szCs w:val="17"/>
              </w:rPr>
            </w:pPr>
            <w:r w:rsidRPr="00E7028F">
              <w:rPr>
                <w:szCs w:val="17"/>
              </w:rPr>
              <w:t>Lot 426 Frederick Rd, Seaton</w:t>
            </w:r>
          </w:p>
        </w:tc>
        <w:tc>
          <w:tcPr>
            <w:tcW w:w="1276" w:type="dxa"/>
          </w:tcPr>
          <w:p w14:paraId="765C367E" w14:textId="77777777" w:rsidR="00E7028F" w:rsidRPr="00E7028F" w:rsidRDefault="00E7028F" w:rsidP="00E7028F">
            <w:pPr>
              <w:spacing w:after="0"/>
              <w:jc w:val="center"/>
              <w:rPr>
                <w:szCs w:val="17"/>
              </w:rPr>
            </w:pPr>
            <w:r w:rsidRPr="00E7028F">
              <w:rPr>
                <w:szCs w:val="17"/>
              </w:rPr>
              <w:t>CT5679</w:t>
            </w:r>
          </w:p>
        </w:tc>
        <w:tc>
          <w:tcPr>
            <w:tcW w:w="1134" w:type="dxa"/>
            <w:tcMar>
              <w:left w:w="0" w:type="dxa"/>
              <w:right w:w="0" w:type="dxa"/>
            </w:tcMar>
          </w:tcPr>
          <w:p w14:paraId="4AA36F44" w14:textId="77777777" w:rsidR="00E7028F" w:rsidRPr="00E7028F" w:rsidRDefault="00E7028F" w:rsidP="00E7028F">
            <w:pPr>
              <w:spacing w:after="0"/>
              <w:ind w:left="426"/>
            </w:pPr>
            <w:r w:rsidRPr="00E7028F">
              <w:t>49</w:t>
            </w:r>
          </w:p>
        </w:tc>
        <w:tc>
          <w:tcPr>
            <w:tcW w:w="1417" w:type="dxa"/>
          </w:tcPr>
          <w:p w14:paraId="7AF06854" w14:textId="77777777" w:rsidR="00E7028F" w:rsidRPr="00E7028F" w:rsidRDefault="00E7028F" w:rsidP="00E7028F">
            <w:pPr>
              <w:spacing w:after="0"/>
              <w:ind w:left="321"/>
              <w:jc w:val="left"/>
              <w:rPr>
                <w:szCs w:val="17"/>
              </w:rPr>
            </w:pPr>
            <w:r w:rsidRPr="00E7028F">
              <w:rPr>
                <w:szCs w:val="17"/>
              </w:rPr>
              <w:t>F13442</w:t>
            </w:r>
          </w:p>
        </w:tc>
        <w:tc>
          <w:tcPr>
            <w:tcW w:w="1422" w:type="dxa"/>
          </w:tcPr>
          <w:p w14:paraId="73DF5C8B" w14:textId="77777777" w:rsidR="00E7028F" w:rsidRPr="00E7028F" w:rsidRDefault="00E7028F" w:rsidP="00E7028F">
            <w:pPr>
              <w:spacing w:after="0"/>
              <w:ind w:left="319"/>
              <w:jc w:val="left"/>
              <w:rPr>
                <w:szCs w:val="17"/>
              </w:rPr>
            </w:pPr>
            <w:r w:rsidRPr="00E7028F">
              <w:rPr>
                <w:szCs w:val="17"/>
              </w:rPr>
              <w:t>A426</w:t>
            </w:r>
          </w:p>
        </w:tc>
      </w:tr>
      <w:tr w:rsidR="00E7028F" w:rsidRPr="00E7028F" w14:paraId="61DF8759" w14:textId="77777777" w:rsidTr="000E227A">
        <w:tc>
          <w:tcPr>
            <w:tcW w:w="4111" w:type="dxa"/>
          </w:tcPr>
          <w:p w14:paraId="7E778453" w14:textId="77777777" w:rsidR="00E7028F" w:rsidRPr="00E7028F" w:rsidRDefault="00E7028F" w:rsidP="00E7028F">
            <w:pPr>
              <w:spacing w:after="0"/>
              <w:rPr>
                <w:szCs w:val="17"/>
              </w:rPr>
            </w:pPr>
            <w:r w:rsidRPr="00E7028F">
              <w:rPr>
                <w:szCs w:val="17"/>
              </w:rPr>
              <w:t>Lot 427 Frederick Rd, Seaton</w:t>
            </w:r>
          </w:p>
        </w:tc>
        <w:tc>
          <w:tcPr>
            <w:tcW w:w="1276" w:type="dxa"/>
          </w:tcPr>
          <w:p w14:paraId="4A1C72F7" w14:textId="77777777" w:rsidR="00E7028F" w:rsidRPr="00E7028F" w:rsidRDefault="00E7028F" w:rsidP="00E7028F">
            <w:pPr>
              <w:spacing w:after="0"/>
              <w:jc w:val="center"/>
              <w:rPr>
                <w:szCs w:val="17"/>
              </w:rPr>
            </w:pPr>
            <w:r w:rsidRPr="00E7028F">
              <w:rPr>
                <w:szCs w:val="17"/>
              </w:rPr>
              <w:t>CT5679</w:t>
            </w:r>
          </w:p>
        </w:tc>
        <w:tc>
          <w:tcPr>
            <w:tcW w:w="1134" w:type="dxa"/>
            <w:tcMar>
              <w:left w:w="0" w:type="dxa"/>
              <w:right w:w="0" w:type="dxa"/>
            </w:tcMar>
          </w:tcPr>
          <w:p w14:paraId="40734FA9" w14:textId="77777777" w:rsidR="00E7028F" w:rsidRPr="00E7028F" w:rsidRDefault="00E7028F" w:rsidP="00E7028F">
            <w:pPr>
              <w:spacing w:after="0"/>
              <w:ind w:left="426"/>
            </w:pPr>
            <w:r w:rsidRPr="00E7028F">
              <w:t>49</w:t>
            </w:r>
          </w:p>
        </w:tc>
        <w:tc>
          <w:tcPr>
            <w:tcW w:w="1417" w:type="dxa"/>
          </w:tcPr>
          <w:p w14:paraId="22C3EFBF" w14:textId="77777777" w:rsidR="00E7028F" w:rsidRPr="00E7028F" w:rsidRDefault="00E7028F" w:rsidP="00E7028F">
            <w:pPr>
              <w:spacing w:after="0"/>
              <w:ind w:left="321"/>
              <w:jc w:val="left"/>
              <w:rPr>
                <w:szCs w:val="17"/>
              </w:rPr>
            </w:pPr>
            <w:r w:rsidRPr="00E7028F">
              <w:rPr>
                <w:szCs w:val="17"/>
              </w:rPr>
              <w:t>F13442</w:t>
            </w:r>
          </w:p>
        </w:tc>
        <w:tc>
          <w:tcPr>
            <w:tcW w:w="1422" w:type="dxa"/>
          </w:tcPr>
          <w:p w14:paraId="51D134B3" w14:textId="77777777" w:rsidR="00E7028F" w:rsidRPr="00E7028F" w:rsidRDefault="00E7028F" w:rsidP="00E7028F">
            <w:pPr>
              <w:spacing w:after="0"/>
              <w:ind w:left="319"/>
              <w:jc w:val="left"/>
              <w:rPr>
                <w:szCs w:val="17"/>
              </w:rPr>
            </w:pPr>
            <w:r w:rsidRPr="00E7028F">
              <w:rPr>
                <w:szCs w:val="17"/>
              </w:rPr>
              <w:t>A427</w:t>
            </w:r>
          </w:p>
        </w:tc>
      </w:tr>
      <w:tr w:rsidR="00E7028F" w:rsidRPr="00E7028F" w14:paraId="6AADA433" w14:textId="77777777" w:rsidTr="000E227A">
        <w:tc>
          <w:tcPr>
            <w:tcW w:w="4111" w:type="dxa"/>
          </w:tcPr>
          <w:p w14:paraId="575856BE" w14:textId="77777777" w:rsidR="00E7028F" w:rsidRPr="00E7028F" w:rsidRDefault="00E7028F" w:rsidP="00E7028F">
            <w:pPr>
              <w:spacing w:after="0"/>
              <w:rPr>
                <w:szCs w:val="17"/>
              </w:rPr>
            </w:pPr>
            <w:r w:rsidRPr="00E7028F">
              <w:rPr>
                <w:szCs w:val="17"/>
              </w:rPr>
              <w:t>121 Frederick Rd, Seaton</w:t>
            </w:r>
          </w:p>
        </w:tc>
        <w:tc>
          <w:tcPr>
            <w:tcW w:w="1276" w:type="dxa"/>
          </w:tcPr>
          <w:p w14:paraId="7304A910" w14:textId="77777777" w:rsidR="00E7028F" w:rsidRPr="00E7028F" w:rsidRDefault="00E7028F" w:rsidP="00E7028F">
            <w:pPr>
              <w:spacing w:after="0"/>
              <w:jc w:val="center"/>
              <w:rPr>
                <w:szCs w:val="17"/>
              </w:rPr>
            </w:pPr>
            <w:r w:rsidRPr="00E7028F">
              <w:rPr>
                <w:szCs w:val="17"/>
              </w:rPr>
              <w:t>CT5679</w:t>
            </w:r>
          </w:p>
        </w:tc>
        <w:tc>
          <w:tcPr>
            <w:tcW w:w="1134" w:type="dxa"/>
            <w:tcMar>
              <w:left w:w="0" w:type="dxa"/>
              <w:right w:w="0" w:type="dxa"/>
            </w:tcMar>
          </w:tcPr>
          <w:p w14:paraId="14D6B630" w14:textId="77777777" w:rsidR="00E7028F" w:rsidRPr="00E7028F" w:rsidRDefault="00E7028F" w:rsidP="00E7028F">
            <w:pPr>
              <w:spacing w:after="0"/>
              <w:ind w:left="426"/>
            </w:pPr>
            <w:r w:rsidRPr="00E7028F">
              <w:t>50</w:t>
            </w:r>
          </w:p>
        </w:tc>
        <w:tc>
          <w:tcPr>
            <w:tcW w:w="1417" w:type="dxa"/>
          </w:tcPr>
          <w:p w14:paraId="0C180E28" w14:textId="77777777" w:rsidR="00E7028F" w:rsidRPr="00E7028F" w:rsidRDefault="00E7028F" w:rsidP="00E7028F">
            <w:pPr>
              <w:spacing w:after="0"/>
              <w:ind w:left="321"/>
              <w:jc w:val="left"/>
              <w:rPr>
                <w:szCs w:val="17"/>
              </w:rPr>
            </w:pPr>
            <w:r w:rsidRPr="00E7028F">
              <w:rPr>
                <w:szCs w:val="17"/>
              </w:rPr>
              <w:t>F13442</w:t>
            </w:r>
          </w:p>
        </w:tc>
        <w:tc>
          <w:tcPr>
            <w:tcW w:w="1422" w:type="dxa"/>
          </w:tcPr>
          <w:p w14:paraId="11E3C949" w14:textId="77777777" w:rsidR="00E7028F" w:rsidRPr="00E7028F" w:rsidRDefault="00E7028F" w:rsidP="00E7028F">
            <w:pPr>
              <w:spacing w:after="0"/>
              <w:ind w:left="319"/>
              <w:jc w:val="left"/>
              <w:rPr>
                <w:szCs w:val="17"/>
              </w:rPr>
            </w:pPr>
            <w:r w:rsidRPr="00E7028F">
              <w:rPr>
                <w:szCs w:val="17"/>
              </w:rPr>
              <w:t>A429</w:t>
            </w:r>
          </w:p>
        </w:tc>
      </w:tr>
      <w:tr w:rsidR="00E7028F" w:rsidRPr="00E7028F" w14:paraId="6B62C657" w14:textId="77777777" w:rsidTr="000E227A">
        <w:tc>
          <w:tcPr>
            <w:tcW w:w="4111" w:type="dxa"/>
          </w:tcPr>
          <w:p w14:paraId="22811896" w14:textId="77777777" w:rsidR="00E7028F" w:rsidRPr="00E7028F" w:rsidRDefault="00E7028F" w:rsidP="00E7028F">
            <w:pPr>
              <w:spacing w:after="0"/>
              <w:rPr>
                <w:szCs w:val="17"/>
              </w:rPr>
            </w:pPr>
            <w:r w:rsidRPr="00E7028F">
              <w:rPr>
                <w:szCs w:val="17"/>
              </w:rPr>
              <w:t>123 Frederick Rd, Seaton</w:t>
            </w:r>
          </w:p>
        </w:tc>
        <w:tc>
          <w:tcPr>
            <w:tcW w:w="1276" w:type="dxa"/>
          </w:tcPr>
          <w:p w14:paraId="4D990716" w14:textId="77777777" w:rsidR="00E7028F" w:rsidRPr="00E7028F" w:rsidRDefault="00E7028F" w:rsidP="00E7028F">
            <w:pPr>
              <w:spacing w:after="0"/>
              <w:jc w:val="center"/>
              <w:rPr>
                <w:szCs w:val="17"/>
              </w:rPr>
            </w:pPr>
            <w:r w:rsidRPr="00E7028F">
              <w:rPr>
                <w:szCs w:val="17"/>
              </w:rPr>
              <w:t>CT5679</w:t>
            </w:r>
          </w:p>
        </w:tc>
        <w:tc>
          <w:tcPr>
            <w:tcW w:w="1134" w:type="dxa"/>
            <w:tcMar>
              <w:left w:w="0" w:type="dxa"/>
              <w:right w:w="0" w:type="dxa"/>
            </w:tcMar>
          </w:tcPr>
          <w:p w14:paraId="02B1B39C" w14:textId="77777777" w:rsidR="00E7028F" w:rsidRPr="00E7028F" w:rsidRDefault="00E7028F" w:rsidP="00E7028F">
            <w:pPr>
              <w:spacing w:after="0"/>
              <w:ind w:left="426"/>
            </w:pPr>
            <w:r w:rsidRPr="00E7028F">
              <w:t>50</w:t>
            </w:r>
          </w:p>
        </w:tc>
        <w:tc>
          <w:tcPr>
            <w:tcW w:w="1417" w:type="dxa"/>
          </w:tcPr>
          <w:p w14:paraId="76440843" w14:textId="77777777" w:rsidR="00E7028F" w:rsidRPr="00E7028F" w:rsidRDefault="00E7028F" w:rsidP="00E7028F">
            <w:pPr>
              <w:spacing w:after="0"/>
              <w:ind w:left="321"/>
              <w:jc w:val="left"/>
              <w:rPr>
                <w:szCs w:val="17"/>
              </w:rPr>
            </w:pPr>
            <w:r w:rsidRPr="00E7028F">
              <w:rPr>
                <w:szCs w:val="17"/>
              </w:rPr>
              <w:t>F13442</w:t>
            </w:r>
          </w:p>
        </w:tc>
        <w:tc>
          <w:tcPr>
            <w:tcW w:w="1422" w:type="dxa"/>
          </w:tcPr>
          <w:p w14:paraId="2AFDF312" w14:textId="77777777" w:rsidR="00E7028F" w:rsidRPr="00E7028F" w:rsidRDefault="00E7028F" w:rsidP="00E7028F">
            <w:pPr>
              <w:spacing w:after="0"/>
              <w:ind w:left="319"/>
              <w:jc w:val="left"/>
              <w:rPr>
                <w:szCs w:val="17"/>
              </w:rPr>
            </w:pPr>
            <w:r w:rsidRPr="00E7028F">
              <w:rPr>
                <w:szCs w:val="17"/>
              </w:rPr>
              <w:t>A430</w:t>
            </w:r>
          </w:p>
        </w:tc>
      </w:tr>
      <w:tr w:rsidR="00E7028F" w:rsidRPr="00E7028F" w14:paraId="6982E1D7" w14:textId="77777777" w:rsidTr="000E227A">
        <w:tc>
          <w:tcPr>
            <w:tcW w:w="4111" w:type="dxa"/>
          </w:tcPr>
          <w:p w14:paraId="475FD86A" w14:textId="77777777" w:rsidR="00E7028F" w:rsidRPr="00E7028F" w:rsidRDefault="00E7028F" w:rsidP="00E7028F">
            <w:pPr>
              <w:spacing w:after="0"/>
              <w:rPr>
                <w:szCs w:val="17"/>
              </w:rPr>
            </w:pPr>
            <w:r w:rsidRPr="00E7028F">
              <w:rPr>
                <w:szCs w:val="17"/>
              </w:rPr>
              <w:t>125 Frederick Rd, Seaton</w:t>
            </w:r>
          </w:p>
        </w:tc>
        <w:tc>
          <w:tcPr>
            <w:tcW w:w="1276" w:type="dxa"/>
          </w:tcPr>
          <w:p w14:paraId="42FE280F" w14:textId="77777777" w:rsidR="00E7028F" w:rsidRPr="00E7028F" w:rsidRDefault="00E7028F" w:rsidP="00E7028F">
            <w:pPr>
              <w:spacing w:after="0"/>
              <w:jc w:val="center"/>
              <w:rPr>
                <w:szCs w:val="17"/>
              </w:rPr>
            </w:pPr>
            <w:r w:rsidRPr="00E7028F">
              <w:rPr>
                <w:szCs w:val="17"/>
              </w:rPr>
              <w:t>CT5679</w:t>
            </w:r>
          </w:p>
        </w:tc>
        <w:tc>
          <w:tcPr>
            <w:tcW w:w="1134" w:type="dxa"/>
            <w:tcMar>
              <w:left w:w="0" w:type="dxa"/>
              <w:right w:w="0" w:type="dxa"/>
            </w:tcMar>
          </w:tcPr>
          <w:p w14:paraId="2B53A137" w14:textId="77777777" w:rsidR="00E7028F" w:rsidRPr="00E7028F" w:rsidRDefault="00E7028F" w:rsidP="00E7028F">
            <w:pPr>
              <w:spacing w:after="0"/>
              <w:ind w:left="426"/>
            </w:pPr>
            <w:r w:rsidRPr="00E7028F">
              <w:t>50</w:t>
            </w:r>
          </w:p>
        </w:tc>
        <w:tc>
          <w:tcPr>
            <w:tcW w:w="1417" w:type="dxa"/>
          </w:tcPr>
          <w:p w14:paraId="425C85AF" w14:textId="77777777" w:rsidR="00E7028F" w:rsidRPr="00E7028F" w:rsidRDefault="00E7028F" w:rsidP="00E7028F">
            <w:pPr>
              <w:spacing w:after="0"/>
              <w:ind w:left="321"/>
              <w:jc w:val="left"/>
              <w:rPr>
                <w:szCs w:val="17"/>
              </w:rPr>
            </w:pPr>
            <w:r w:rsidRPr="00E7028F">
              <w:rPr>
                <w:szCs w:val="17"/>
              </w:rPr>
              <w:t>F13442</w:t>
            </w:r>
          </w:p>
        </w:tc>
        <w:tc>
          <w:tcPr>
            <w:tcW w:w="1422" w:type="dxa"/>
          </w:tcPr>
          <w:p w14:paraId="72816815" w14:textId="77777777" w:rsidR="00E7028F" w:rsidRPr="00E7028F" w:rsidRDefault="00E7028F" w:rsidP="00E7028F">
            <w:pPr>
              <w:spacing w:after="0"/>
              <w:ind w:left="319"/>
              <w:jc w:val="left"/>
              <w:rPr>
                <w:szCs w:val="17"/>
              </w:rPr>
            </w:pPr>
            <w:r w:rsidRPr="00E7028F">
              <w:rPr>
                <w:szCs w:val="17"/>
              </w:rPr>
              <w:t>A431</w:t>
            </w:r>
          </w:p>
        </w:tc>
      </w:tr>
      <w:tr w:rsidR="00E7028F" w:rsidRPr="00E7028F" w14:paraId="01F07C52" w14:textId="77777777" w:rsidTr="000E227A">
        <w:tc>
          <w:tcPr>
            <w:tcW w:w="4111" w:type="dxa"/>
          </w:tcPr>
          <w:p w14:paraId="5D1EEAD1" w14:textId="77777777" w:rsidR="00E7028F" w:rsidRPr="00E7028F" w:rsidRDefault="00E7028F" w:rsidP="00E7028F">
            <w:pPr>
              <w:spacing w:after="0"/>
              <w:rPr>
                <w:szCs w:val="17"/>
              </w:rPr>
            </w:pPr>
            <w:r w:rsidRPr="00E7028F">
              <w:rPr>
                <w:szCs w:val="17"/>
              </w:rPr>
              <w:t>131 Frederick Rd, Seaton</w:t>
            </w:r>
          </w:p>
        </w:tc>
        <w:tc>
          <w:tcPr>
            <w:tcW w:w="1276" w:type="dxa"/>
          </w:tcPr>
          <w:p w14:paraId="06233B7B" w14:textId="77777777" w:rsidR="00E7028F" w:rsidRPr="00E7028F" w:rsidRDefault="00E7028F" w:rsidP="00E7028F">
            <w:pPr>
              <w:spacing w:after="0"/>
              <w:jc w:val="center"/>
              <w:rPr>
                <w:szCs w:val="17"/>
              </w:rPr>
            </w:pPr>
            <w:r w:rsidRPr="00E7028F">
              <w:rPr>
                <w:szCs w:val="17"/>
              </w:rPr>
              <w:t>CT5679</w:t>
            </w:r>
          </w:p>
        </w:tc>
        <w:tc>
          <w:tcPr>
            <w:tcW w:w="1134" w:type="dxa"/>
            <w:tcMar>
              <w:left w:w="0" w:type="dxa"/>
              <w:right w:w="0" w:type="dxa"/>
            </w:tcMar>
          </w:tcPr>
          <w:p w14:paraId="10AD9236" w14:textId="77777777" w:rsidR="00E7028F" w:rsidRPr="00E7028F" w:rsidRDefault="00E7028F" w:rsidP="00E7028F">
            <w:pPr>
              <w:spacing w:after="0"/>
              <w:ind w:left="426"/>
            </w:pPr>
            <w:r w:rsidRPr="00E7028F">
              <w:t>52</w:t>
            </w:r>
          </w:p>
        </w:tc>
        <w:tc>
          <w:tcPr>
            <w:tcW w:w="1417" w:type="dxa"/>
          </w:tcPr>
          <w:p w14:paraId="6DCEE1C1" w14:textId="77777777" w:rsidR="00E7028F" w:rsidRPr="00E7028F" w:rsidRDefault="00E7028F" w:rsidP="00E7028F">
            <w:pPr>
              <w:spacing w:after="0"/>
              <w:ind w:left="321"/>
              <w:jc w:val="left"/>
              <w:rPr>
                <w:szCs w:val="17"/>
              </w:rPr>
            </w:pPr>
            <w:r w:rsidRPr="00E7028F">
              <w:rPr>
                <w:szCs w:val="17"/>
              </w:rPr>
              <w:t>D4581</w:t>
            </w:r>
          </w:p>
        </w:tc>
        <w:tc>
          <w:tcPr>
            <w:tcW w:w="1422" w:type="dxa"/>
          </w:tcPr>
          <w:p w14:paraId="34B79589" w14:textId="77777777" w:rsidR="00E7028F" w:rsidRPr="00E7028F" w:rsidRDefault="00E7028F" w:rsidP="00E7028F">
            <w:pPr>
              <w:spacing w:after="0"/>
              <w:ind w:left="319"/>
              <w:jc w:val="left"/>
              <w:rPr>
                <w:szCs w:val="17"/>
              </w:rPr>
            </w:pPr>
            <w:r w:rsidRPr="00E7028F">
              <w:rPr>
                <w:szCs w:val="17"/>
              </w:rPr>
              <w:t>A11</w:t>
            </w:r>
          </w:p>
        </w:tc>
      </w:tr>
      <w:tr w:rsidR="00E7028F" w:rsidRPr="00E7028F" w14:paraId="064DB1E4" w14:textId="77777777" w:rsidTr="000E227A">
        <w:tc>
          <w:tcPr>
            <w:tcW w:w="4111" w:type="dxa"/>
          </w:tcPr>
          <w:p w14:paraId="01DDF736" w14:textId="77777777" w:rsidR="00E7028F" w:rsidRPr="00E7028F" w:rsidRDefault="00E7028F" w:rsidP="00E7028F">
            <w:pPr>
              <w:spacing w:after="0"/>
              <w:rPr>
                <w:szCs w:val="17"/>
              </w:rPr>
            </w:pPr>
            <w:r w:rsidRPr="00E7028F">
              <w:rPr>
                <w:szCs w:val="17"/>
              </w:rPr>
              <w:t>133 Frederick Rd, Seaton</w:t>
            </w:r>
          </w:p>
        </w:tc>
        <w:tc>
          <w:tcPr>
            <w:tcW w:w="1276" w:type="dxa"/>
          </w:tcPr>
          <w:p w14:paraId="3B61868C" w14:textId="77777777" w:rsidR="00E7028F" w:rsidRPr="00E7028F" w:rsidRDefault="00E7028F" w:rsidP="00E7028F">
            <w:pPr>
              <w:spacing w:after="0"/>
              <w:jc w:val="center"/>
              <w:rPr>
                <w:szCs w:val="17"/>
              </w:rPr>
            </w:pPr>
            <w:r w:rsidRPr="00E7028F">
              <w:rPr>
                <w:szCs w:val="17"/>
              </w:rPr>
              <w:t>CT6039</w:t>
            </w:r>
          </w:p>
        </w:tc>
        <w:tc>
          <w:tcPr>
            <w:tcW w:w="1134" w:type="dxa"/>
            <w:tcMar>
              <w:left w:w="0" w:type="dxa"/>
              <w:right w:w="0" w:type="dxa"/>
            </w:tcMar>
          </w:tcPr>
          <w:p w14:paraId="27736E9D" w14:textId="77777777" w:rsidR="00E7028F" w:rsidRPr="00E7028F" w:rsidRDefault="00E7028F" w:rsidP="00E7028F">
            <w:pPr>
              <w:spacing w:after="0"/>
              <w:ind w:left="426"/>
            </w:pPr>
            <w:r w:rsidRPr="00E7028F">
              <w:t>382</w:t>
            </w:r>
          </w:p>
        </w:tc>
        <w:tc>
          <w:tcPr>
            <w:tcW w:w="1417" w:type="dxa"/>
          </w:tcPr>
          <w:p w14:paraId="1267535B" w14:textId="77777777" w:rsidR="00E7028F" w:rsidRPr="00E7028F" w:rsidRDefault="00E7028F" w:rsidP="00E7028F">
            <w:pPr>
              <w:spacing w:after="0"/>
              <w:ind w:left="321"/>
              <w:jc w:val="left"/>
              <w:rPr>
                <w:szCs w:val="17"/>
              </w:rPr>
            </w:pPr>
            <w:r w:rsidRPr="00E7028F">
              <w:rPr>
                <w:szCs w:val="17"/>
              </w:rPr>
              <w:t>D4581</w:t>
            </w:r>
          </w:p>
        </w:tc>
        <w:tc>
          <w:tcPr>
            <w:tcW w:w="1422" w:type="dxa"/>
          </w:tcPr>
          <w:p w14:paraId="20F58721" w14:textId="77777777" w:rsidR="00E7028F" w:rsidRPr="00E7028F" w:rsidRDefault="00E7028F" w:rsidP="00E7028F">
            <w:pPr>
              <w:spacing w:after="0"/>
              <w:ind w:left="319"/>
              <w:jc w:val="left"/>
              <w:rPr>
                <w:szCs w:val="17"/>
              </w:rPr>
            </w:pPr>
            <w:r w:rsidRPr="00E7028F">
              <w:rPr>
                <w:szCs w:val="17"/>
              </w:rPr>
              <w:t>A253</w:t>
            </w:r>
          </w:p>
        </w:tc>
      </w:tr>
      <w:tr w:rsidR="00E7028F" w:rsidRPr="00E7028F" w14:paraId="0D2CF69F" w14:textId="77777777" w:rsidTr="000E227A">
        <w:tc>
          <w:tcPr>
            <w:tcW w:w="4111" w:type="dxa"/>
          </w:tcPr>
          <w:p w14:paraId="6DAE3471" w14:textId="77777777" w:rsidR="00E7028F" w:rsidRPr="00E7028F" w:rsidRDefault="00E7028F" w:rsidP="00E7028F">
            <w:pPr>
              <w:spacing w:after="0"/>
              <w:rPr>
                <w:szCs w:val="17"/>
              </w:rPr>
            </w:pPr>
            <w:r w:rsidRPr="00E7028F">
              <w:rPr>
                <w:szCs w:val="17"/>
              </w:rPr>
              <w:t>135 Frederick Rd, Seaton</w:t>
            </w:r>
          </w:p>
        </w:tc>
        <w:tc>
          <w:tcPr>
            <w:tcW w:w="1276" w:type="dxa"/>
          </w:tcPr>
          <w:p w14:paraId="4F1ED13B" w14:textId="77777777" w:rsidR="00E7028F" w:rsidRPr="00E7028F" w:rsidRDefault="00E7028F" w:rsidP="00E7028F">
            <w:pPr>
              <w:spacing w:after="0"/>
              <w:jc w:val="center"/>
              <w:rPr>
                <w:szCs w:val="17"/>
              </w:rPr>
            </w:pPr>
            <w:r w:rsidRPr="00E7028F">
              <w:rPr>
                <w:szCs w:val="17"/>
              </w:rPr>
              <w:t>CT6039</w:t>
            </w:r>
          </w:p>
        </w:tc>
        <w:tc>
          <w:tcPr>
            <w:tcW w:w="1134" w:type="dxa"/>
            <w:tcMar>
              <w:left w:w="0" w:type="dxa"/>
              <w:right w:w="0" w:type="dxa"/>
            </w:tcMar>
          </w:tcPr>
          <w:p w14:paraId="6C4D99C6" w14:textId="77777777" w:rsidR="00E7028F" w:rsidRPr="00E7028F" w:rsidRDefault="00E7028F" w:rsidP="00E7028F">
            <w:pPr>
              <w:spacing w:after="0"/>
              <w:ind w:left="426"/>
            </w:pPr>
            <w:r w:rsidRPr="00E7028F">
              <w:t>382</w:t>
            </w:r>
          </w:p>
        </w:tc>
        <w:tc>
          <w:tcPr>
            <w:tcW w:w="1417" w:type="dxa"/>
          </w:tcPr>
          <w:p w14:paraId="78113CDC" w14:textId="77777777" w:rsidR="00E7028F" w:rsidRPr="00E7028F" w:rsidRDefault="00E7028F" w:rsidP="00E7028F">
            <w:pPr>
              <w:spacing w:after="0"/>
              <w:ind w:left="321"/>
              <w:jc w:val="left"/>
              <w:rPr>
                <w:szCs w:val="17"/>
              </w:rPr>
            </w:pPr>
            <w:r w:rsidRPr="00E7028F">
              <w:rPr>
                <w:szCs w:val="17"/>
              </w:rPr>
              <w:t>D4581</w:t>
            </w:r>
          </w:p>
        </w:tc>
        <w:tc>
          <w:tcPr>
            <w:tcW w:w="1422" w:type="dxa"/>
          </w:tcPr>
          <w:p w14:paraId="4858AE8B" w14:textId="77777777" w:rsidR="00E7028F" w:rsidRPr="00E7028F" w:rsidRDefault="00E7028F" w:rsidP="00E7028F">
            <w:pPr>
              <w:spacing w:after="0"/>
              <w:ind w:left="319"/>
              <w:jc w:val="left"/>
              <w:rPr>
                <w:szCs w:val="17"/>
              </w:rPr>
            </w:pPr>
            <w:r w:rsidRPr="00E7028F">
              <w:rPr>
                <w:szCs w:val="17"/>
              </w:rPr>
              <w:t>A254</w:t>
            </w:r>
          </w:p>
        </w:tc>
      </w:tr>
      <w:tr w:rsidR="00E7028F" w:rsidRPr="00E7028F" w14:paraId="67305A54" w14:textId="77777777" w:rsidTr="000E227A">
        <w:tc>
          <w:tcPr>
            <w:tcW w:w="4111" w:type="dxa"/>
          </w:tcPr>
          <w:p w14:paraId="10FDE95D" w14:textId="77777777" w:rsidR="00E7028F" w:rsidRPr="00E7028F" w:rsidRDefault="00E7028F" w:rsidP="00E7028F">
            <w:pPr>
              <w:spacing w:after="0"/>
              <w:rPr>
                <w:szCs w:val="17"/>
              </w:rPr>
            </w:pPr>
            <w:r w:rsidRPr="00E7028F">
              <w:rPr>
                <w:szCs w:val="17"/>
              </w:rPr>
              <w:t>137 Frederick Rd, Seaton</w:t>
            </w:r>
          </w:p>
        </w:tc>
        <w:tc>
          <w:tcPr>
            <w:tcW w:w="1276" w:type="dxa"/>
          </w:tcPr>
          <w:p w14:paraId="77EE3FB7" w14:textId="77777777" w:rsidR="00E7028F" w:rsidRPr="00E7028F" w:rsidRDefault="00E7028F" w:rsidP="00E7028F">
            <w:pPr>
              <w:spacing w:after="0"/>
              <w:jc w:val="center"/>
              <w:rPr>
                <w:szCs w:val="17"/>
              </w:rPr>
            </w:pPr>
            <w:r w:rsidRPr="00E7028F">
              <w:rPr>
                <w:szCs w:val="17"/>
              </w:rPr>
              <w:t>CT6039</w:t>
            </w:r>
          </w:p>
        </w:tc>
        <w:tc>
          <w:tcPr>
            <w:tcW w:w="1134" w:type="dxa"/>
            <w:tcMar>
              <w:left w:w="0" w:type="dxa"/>
              <w:right w:w="0" w:type="dxa"/>
            </w:tcMar>
          </w:tcPr>
          <w:p w14:paraId="0A0F52C2" w14:textId="77777777" w:rsidR="00E7028F" w:rsidRPr="00E7028F" w:rsidRDefault="00E7028F" w:rsidP="00E7028F">
            <w:pPr>
              <w:spacing w:after="0"/>
              <w:ind w:left="426"/>
            </w:pPr>
            <w:r w:rsidRPr="00E7028F">
              <w:t>382</w:t>
            </w:r>
          </w:p>
        </w:tc>
        <w:tc>
          <w:tcPr>
            <w:tcW w:w="1417" w:type="dxa"/>
          </w:tcPr>
          <w:p w14:paraId="08E698F3" w14:textId="77777777" w:rsidR="00E7028F" w:rsidRPr="00E7028F" w:rsidRDefault="00E7028F" w:rsidP="00E7028F">
            <w:pPr>
              <w:spacing w:after="0"/>
              <w:ind w:left="321"/>
              <w:jc w:val="left"/>
              <w:rPr>
                <w:szCs w:val="17"/>
              </w:rPr>
            </w:pPr>
            <w:r w:rsidRPr="00E7028F">
              <w:rPr>
                <w:szCs w:val="17"/>
              </w:rPr>
              <w:t>D4581</w:t>
            </w:r>
          </w:p>
        </w:tc>
        <w:tc>
          <w:tcPr>
            <w:tcW w:w="1422" w:type="dxa"/>
          </w:tcPr>
          <w:p w14:paraId="118645CC" w14:textId="77777777" w:rsidR="00E7028F" w:rsidRPr="00E7028F" w:rsidRDefault="00E7028F" w:rsidP="00E7028F">
            <w:pPr>
              <w:spacing w:after="0"/>
              <w:ind w:left="319"/>
              <w:jc w:val="left"/>
              <w:rPr>
                <w:szCs w:val="17"/>
              </w:rPr>
            </w:pPr>
            <w:r w:rsidRPr="00E7028F">
              <w:rPr>
                <w:szCs w:val="17"/>
              </w:rPr>
              <w:t>A255</w:t>
            </w:r>
          </w:p>
        </w:tc>
      </w:tr>
      <w:tr w:rsidR="00E7028F" w:rsidRPr="00E7028F" w14:paraId="13E0E49F" w14:textId="77777777" w:rsidTr="000E227A">
        <w:tc>
          <w:tcPr>
            <w:tcW w:w="4111" w:type="dxa"/>
          </w:tcPr>
          <w:p w14:paraId="450643B3" w14:textId="77777777" w:rsidR="00E7028F" w:rsidRPr="00E7028F" w:rsidRDefault="00E7028F" w:rsidP="00E7028F">
            <w:pPr>
              <w:spacing w:after="0"/>
              <w:rPr>
                <w:szCs w:val="17"/>
              </w:rPr>
            </w:pPr>
            <w:r w:rsidRPr="00E7028F">
              <w:rPr>
                <w:szCs w:val="17"/>
              </w:rPr>
              <w:t>139 Frederick Rd, Seaton</w:t>
            </w:r>
          </w:p>
        </w:tc>
        <w:tc>
          <w:tcPr>
            <w:tcW w:w="1276" w:type="dxa"/>
          </w:tcPr>
          <w:p w14:paraId="1C5FF52F" w14:textId="77777777" w:rsidR="00E7028F" w:rsidRPr="00E7028F" w:rsidRDefault="00E7028F" w:rsidP="00E7028F">
            <w:pPr>
              <w:spacing w:after="0"/>
              <w:jc w:val="center"/>
              <w:rPr>
                <w:szCs w:val="17"/>
              </w:rPr>
            </w:pPr>
            <w:r w:rsidRPr="00E7028F">
              <w:rPr>
                <w:szCs w:val="17"/>
              </w:rPr>
              <w:t>CT6039</w:t>
            </w:r>
          </w:p>
        </w:tc>
        <w:tc>
          <w:tcPr>
            <w:tcW w:w="1134" w:type="dxa"/>
            <w:tcMar>
              <w:left w:w="0" w:type="dxa"/>
              <w:right w:w="0" w:type="dxa"/>
            </w:tcMar>
          </w:tcPr>
          <w:p w14:paraId="284DC6AB" w14:textId="77777777" w:rsidR="00E7028F" w:rsidRPr="00E7028F" w:rsidRDefault="00E7028F" w:rsidP="00E7028F">
            <w:pPr>
              <w:spacing w:after="0"/>
              <w:ind w:left="426"/>
            </w:pPr>
            <w:r w:rsidRPr="00E7028F">
              <w:t>382</w:t>
            </w:r>
          </w:p>
        </w:tc>
        <w:tc>
          <w:tcPr>
            <w:tcW w:w="1417" w:type="dxa"/>
          </w:tcPr>
          <w:p w14:paraId="4ACB699C" w14:textId="77777777" w:rsidR="00E7028F" w:rsidRPr="00E7028F" w:rsidRDefault="00E7028F" w:rsidP="00E7028F">
            <w:pPr>
              <w:spacing w:after="0"/>
              <w:ind w:left="321"/>
              <w:jc w:val="left"/>
              <w:rPr>
                <w:szCs w:val="17"/>
              </w:rPr>
            </w:pPr>
            <w:r w:rsidRPr="00E7028F">
              <w:rPr>
                <w:szCs w:val="17"/>
              </w:rPr>
              <w:t>D4581</w:t>
            </w:r>
          </w:p>
        </w:tc>
        <w:tc>
          <w:tcPr>
            <w:tcW w:w="1422" w:type="dxa"/>
          </w:tcPr>
          <w:p w14:paraId="789F5731" w14:textId="77777777" w:rsidR="00E7028F" w:rsidRPr="00E7028F" w:rsidRDefault="00E7028F" w:rsidP="00E7028F">
            <w:pPr>
              <w:spacing w:after="0"/>
              <w:ind w:left="319"/>
              <w:jc w:val="left"/>
              <w:rPr>
                <w:szCs w:val="17"/>
              </w:rPr>
            </w:pPr>
            <w:r w:rsidRPr="00E7028F">
              <w:rPr>
                <w:szCs w:val="17"/>
              </w:rPr>
              <w:t>A256</w:t>
            </w:r>
          </w:p>
        </w:tc>
      </w:tr>
      <w:tr w:rsidR="00E7028F" w:rsidRPr="00E7028F" w14:paraId="6696B898" w14:textId="77777777" w:rsidTr="000E227A">
        <w:tc>
          <w:tcPr>
            <w:tcW w:w="4111" w:type="dxa"/>
          </w:tcPr>
          <w:p w14:paraId="35AF57F1" w14:textId="77777777" w:rsidR="00E7028F" w:rsidRPr="00E7028F" w:rsidRDefault="00E7028F" w:rsidP="00E7028F">
            <w:pPr>
              <w:spacing w:after="0"/>
              <w:rPr>
                <w:szCs w:val="17"/>
              </w:rPr>
            </w:pPr>
            <w:r w:rsidRPr="00E7028F">
              <w:rPr>
                <w:szCs w:val="17"/>
              </w:rPr>
              <w:t>Lot 257 Frederick Rd, Seaton</w:t>
            </w:r>
          </w:p>
        </w:tc>
        <w:tc>
          <w:tcPr>
            <w:tcW w:w="1276" w:type="dxa"/>
          </w:tcPr>
          <w:p w14:paraId="22CD8A86" w14:textId="77777777" w:rsidR="00E7028F" w:rsidRPr="00E7028F" w:rsidRDefault="00E7028F" w:rsidP="00E7028F">
            <w:pPr>
              <w:spacing w:after="0"/>
              <w:jc w:val="center"/>
              <w:rPr>
                <w:szCs w:val="17"/>
              </w:rPr>
            </w:pPr>
            <w:r w:rsidRPr="00E7028F">
              <w:rPr>
                <w:szCs w:val="17"/>
              </w:rPr>
              <w:t>CT6039</w:t>
            </w:r>
          </w:p>
        </w:tc>
        <w:tc>
          <w:tcPr>
            <w:tcW w:w="1134" w:type="dxa"/>
            <w:tcMar>
              <w:left w:w="0" w:type="dxa"/>
              <w:right w:w="0" w:type="dxa"/>
            </w:tcMar>
          </w:tcPr>
          <w:p w14:paraId="42480594" w14:textId="77777777" w:rsidR="00E7028F" w:rsidRPr="00E7028F" w:rsidRDefault="00E7028F" w:rsidP="00E7028F">
            <w:pPr>
              <w:spacing w:after="0"/>
              <w:ind w:left="426"/>
            </w:pPr>
            <w:r w:rsidRPr="00E7028F">
              <w:t>382</w:t>
            </w:r>
          </w:p>
        </w:tc>
        <w:tc>
          <w:tcPr>
            <w:tcW w:w="1417" w:type="dxa"/>
          </w:tcPr>
          <w:p w14:paraId="600AE2DE" w14:textId="77777777" w:rsidR="00E7028F" w:rsidRPr="00E7028F" w:rsidRDefault="00E7028F" w:rsidP="00E7028F">
            <w:pPr>
              <w:spacing w:after="0"/>
              <w:ind w:left="321"/>
              <w:jc w:val="left"/>
              <w:rPr>
                <w:szCs w:val="17"/>
              </w:rPr>
            </w:pPr>
            <w:r w:rsidRPr="00E7028F">
              <w:rPr>
                <w:szCs w:val="17"/>
              </w:rPr>
              <w:t>D4581</w:t>
            </w:r>
          </w:p>
        </w:tc>
        <w:tc>
          <w:tcPr>
            <w:tcW w:w="1422" w:type="dxa"/>
          </w:tcPr>
          <w:p w14:paraId="1CAE5244" w14:textId="77777777" w:rsidR="00E7028F" w:rsidRPr="00E7028F" w:rsidRDefault="00E7028F" w:rsidP="00E7028F">
            <w:pPr>
              <w:spacing w:after="0"/>
              <w:ind w:left="319"/>
              <w:jc w:val="left"/>
              <w:rPr>
                <w:szCs w:val="17"/>
              </w:rPr>
            </w:pPr>
            <w:r w:rsidRPr="00E7028F">
              <w:rPr>
                <w:szCs w:val="17"/>
              </w:rPr>
              <w:t>A257</w:t>
            </w:r>
          </w:p>
        </w:tc>
      </w:tr>
      <w:tr w:rsidR="00E7028F" w:rsidRPr="00E7028F" w14:paraId="1839C036" w14:textId="77777777" w:rsidTr="000E227A">
        <w:tc>
          <w:tcPr>
            <w:tcW w:w="4111" w:type="dxa"/>
          </w:tcPr>
          <w:p w14:paraId="3F347A68" w14:textId="77777777" w:rsidR="00E7028F" w:rsidRPr="00E7028F" w:rsidRDefault="00E7028F" w:rsidP="00E7028F">
            <w:pPr>
              <w:spacing w:after="0"/>
              <w:rPr>
                <w:szCs w:val="17"/>
              </w:rPr>
            </w:pPr>
            <w:r w:rsidRPr="00E7028F">
              <w:rPr>
                <w:szCs w:val="17"/>
              </w:rPr>
              <w:t>Unit 25, 13 Harris Pl, Seaton</w:t>
            </w:r>
          </w:p>
        </w:tc>
        <w:tc>
          <w:tcPr>
            <w:tcW w:w="1276" w:type="dxa"/>
          </w:tcPr>
          <w:p w14:paraId="5B48C3CB"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118C1EB0" w14:textId="77777777" w:rsidR="00E7028F" w:rsidRPr="00E7028F" w:rsidRDefault="00E7028F" w:rsidP="00E7028F">
            <w:pPr>
              <w:spacing w:after="0"/>
              <w:ind w:left="426"/>
            </w:pPr>
            <w:r w:rsidRPr="00E7028F">
              <w:t>348</w:t>
            </w:r>
          </w:p>
        </w:tc>
        <w:tc>
          <w:tcPr>
            <w:tcW w:w="1417" w:type="dxa"/>
          </w:tcPr>
          <w:p w14:paraId="4781F48B" w14:textId="77777777" w:rsidR="00E7028F" w:rsidRPr="00E7028F" w:rsidRDefault="00E7028F" w:rsidP="00E7028F">
            <w:pPr>
              <w:spacing w:after="0"/>
              <w:ind w:left="321"/>
              <w:jc w:val="left"/>
              <w:rPr>
                <w:szCs w:val="17"/>
              </w:rPr>
            </w:pPr>
            <w:r w:rsidRPr="00E7028F">
              <w:rPr>
                <w:szCs w:val="17"/>
              </w:rPr>
              <w:t>F13442</w:t>
            </w:r>
          </w:p>
        </w:tc>
        <w:tc>
          <w:tcPr>
            <w:tcW w:w="1422" w:type="dxa"/>
          </w:tcPr>
          <w:p w14:paraId="5F8F5196" w14:textId="77777777" w:rsidR="00E7028F" w:rsidRPr="00E7028F" w:rsidRDefault="00E7028F" w:rsidP="00E7028F">
            <w:pPr>
              <w:spacing w:after="0"/>
              <w:ind w:left="319"/>
              <w:jc w:val="left"/>
              <w:rPr>
                <w:szCs w:val="17"/>
              </w:rPr>
            </w:pPr>
            <w:r w:rsidRPr="00E7028F">
              <w:rPr>
                <w:szCs w:val="17"/>
              </w:rPr>
              <w:t>A437</w:t>
            </w:r>
          </w:p>
        </w:tc>
      </w:tr>
      <w:tr w:rsidR="00E7028F" w:rsidRPr="00E7028F" w14:paraId="625CC186" w14:textId="77777777" w:rsidTr="000E227A">
        <w:tc>
          <w:tcPr>
            <w:tcW w:w="4111" w:type="dxa"/>
          </w:tcPr>
          <w:p w14:paraId="7A8F8D7D" w14:textId="77777777" w:rsidR="00E7028F" w:rsidRPr="00E7028F" w:rsidRDefault="00E7028F" w:rsidP="00E7028F">
            <w:pPr>
              <w:spacing w:after="0"/>
              <w:rPr>
                <w:szCs w:val="17"/>
              </w:rPr>
            </w:pPr>
            <w:r w:rsidRPr="00E7028F">
              <w:rPr>
                <w:szCs w:val="17"/>
              </w:rPr>
              <w:t>Unit 1, 93 Pedlar St, Seaton</w:t>
            </w:r>
          </w:p>
        </w:tc>
        <w:tc>
          <w:tcPr>
            <w:tcW w:w="1276" w:type="dxa"/>
          </w:tcPr>
          <w:p w14:paraId="7033E540"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11EEB75F" w14:textId="77777777" w:rsidR="00E7028F" w:rsidRPr="00E7028F" w:rsidRDefault="00E7028F" w:rsidP="00E7028F">
            <w:pPr>
              <w:spacing w:after="0"/>
              <w:ind w:left="426"/>
            </w:pPr>
            <w:r w:rsidRPr="00E7028F">
              <w:t>348</w:t>
            </w:r>
          </w:p>
        </w:tc>
        <w:tc>
          <w:tcPr>
            <w:tcW w:w="1417" w:type="dxa"/>
          </w:tcPr>
          <w:p w14:paraId="0DFD7961" w14:textId="77777777" w:rsidR="00E7028F" w:rsidRPr="00E7028F" w:rsidRDefault="00E7028F" w:rsidP="00E7028F">
            <w:pPr>
              <w:spacing w:after="0"/>
              <w:ind w:left="321"/>
              <w:jc w:val="left"/>
              <w:rPr>
                <w:szCs w:val="17"/>
              </w:rPr>
            </w:pPr>
            <w:r w:rsidRPr="00E7028F">
              <w:rPr>
                <w:szCs w:val="17"/>
              </w:rPr>
              <w:t>F13442</w:t>
            </w:r>
          </w:p>
        </w:tc>
        <w:tc>
          <w:tcPr>
            <w:tcW w:w="1422" w:type="dxa"/>
          </w:tcPr>
          <w:p w14:paraId="502624C0" w14:textId="77777777" w:rsidR="00E7028F" w:rsidRPr="00E7028F" w:rsidRDefault="00E7028F" w:rsidP="00E7028F">
            <w:pPr>
              <w:spacing w:after="0"/>
              <w:ind w:left="319"/>
              <w:jc w:val="left"/>
              <w:rPr>
                <w:szCs w:val="17"/>
              </w:rPr>
            </w:pPr>
            <w:r w:rsidRPr="00E7028F">
              <w:rPr>
                <w:szCs w:val="17"/>
              </w:rPr>
              <w:t>A437</w:t>
            </w:r>
          </w:p>
        </w:tc>
      </w:tr>
      <w:tr w:rsidR="00E7028F" w:rsidRPr="00E7028F" w14:paraId="2751DEB9" w14:textId="77777777" w:rsidTr="000E227A">
        <w:tc>
          <w:tcPr>
            <w:tcW w:w="4111" w:type="dxa"/>
          </w:tcPr>
          <w:p w14:paraId="1B79217A" w14:textId="77777777" w:rsidR="00E7028F" w:rsidRPr="00E7028F" w:rsidRDefault="00E7028F" w:rsidP="00E7028F">
            <w:pPr>
              <w:spacing w:after="0"/>
              <w:rPr>
                <w:szCs w:val="17"/>
              </w:rPr>
            </w:pPr>
            <w:r w:rsidRPr="00E7028F">
              <w:rPr>
                <w:szCs w:val="17"/>
              </w:rPr>
              <w:t>Unit 2, 93 Pedlar St, Seaton</w:t>
            </w:r>
          </w:p>
        </w:tc>
        <w:tc>
          <w:tcPr>
            <w:tcW w:w="1276" w:type="dxa"/>
          </w:tcPr>
          <w:p w14:paraId="1105F919"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2D31FB44" w14:textId="77777777" w:rsidR="00E7028F" w:rsidRPr="00E7028F" w:rsidRDefault="00E7028F" w:rsidP="00E7028F">
            <w:pPr>
              <w:spacing w:after="0"/>
              <w:ind w:left="426"/>
            </w:pPr>
            <w:r w:rsidRPr="00E7028F">
              <w:t>348</w:t>
            </w:r>
          </w:p>
        </w:tc>
        <w:tc>
          <w:tcPr>
            <w:tcW w:w="1417" w:type="dxa"/>
          </w:tcPr>
          <w:p w14:paraId="7181289B" w14:textId="77777777" w:rsidR="00E7028F" w:rsidRPr="00E7028F" w:rsidRDefault="00E7028F" w:rsidP="00E7028F">
            <w:pPr>
              <w:spacing w:after="0"/>
              <w:ind w:left="321"/>
              <w:jc w:val="left"/>
              <w:rPr>
                <w:szCs w:val="17"/>
              </w:rPr>
            </w:pPr>
            <w:r w:rsidRPr="00E7028F">
              <w:rPr>
                <w:szCs w:val="17"/>
              </w:rPr>
              <w:t>F13442</w:t>
            </w:r>
          </w:p>
        </w:tc>
        <w:tc>
          <w:tcPr>
            <w:tcW w:w="1422" w:type="dxa"/>
          </w:tcPr>
          <w:p w14:paraId="02FFB866" w14:textId="77777777" w:rsidR="00E7028F" w:rsidRPr="00E7028F" w:rsidRDefault="00E7028F" w:rsidP="00E7028F">
            <w:pPr>
              <w:spacing w:after="0"/>
              <w:ind w:left="319"/>
              <w:jc w:val="left"/>
              <w:rPr>
                <w:szCs w:val="17"/>
              </w:rPr>
            </w:pPr>
            <w:r w:rsidRPr="00E7028F">
              <w:rPr>
                <w:szCs w:val="17"/>
              </w:rPr>
              <w:t>A437</w:t>
            </w:r>
          </w:p>
        </w:tc>
      </w:tr>
      <w:tr w:rsidR="00E7028F" w:rsidRPr="00E7028F" w14:paraId="0E560EDC" w14:textId="77777777" w:rsidTr="000E227A">
        <w:tc>
          <w:tcPr>
            <w:tcW w:w="4111" w:type="dxa"/>
          </w:tcPr>
          <w:p w14:paraId="0ADA257F" w14:textId="77777777" w:rsidR="00E7028F" w:rsidRPr="00E7028F" w:rsidRDefault="00E7028F" w:rsidP="00E7028F">
            <w:pPr>
              <w:spacing w:after="0"/>
              <w:rPr>
                <w:szCs w:val="17"/>
              </w:rPr>
            </w:pPr>
            <w:r w:rsidRPr="00E7028F">
              <w:rPr>
                <w:szCs w:val="17"/>
              </w:rPr>
              <w:t>Unit 3, 93 Pedlar St, Seaton</w:t>
            </w:r>
          </w:p>
        </w:tc>
        <w:tc>
          <w:tcPr>
            <w:tcW w:w="1276" w:type="dxa"/>
          </w:tcPr>
          <w:p w14:paraId="6DDD2BC9"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58E5B621" w14:textId="77777777" w:rsidR="00E7028F" w:rsidRPr="00E7028F" w:rsidRDefault="00E7028F" w:rsidP="00E7028F">
            <w:pPr>
              <w:spacing w:after="0"/>
              <w:ind w:left="426"/>
            </w:pPr>
            <w:r w:rsidRPr="00E7028F">
              <w:t>348</w:t>
            </w:r>
          </w:p>
        </w:tc>
        <w:tc>
          <w:tcPr>
            <w:tcW w:w="1417" w:type="dxa"/>
          </w:tcPr>
          <w:p w14:paraId="7F88F06B" w14:textId="77777777" w:rsidR="00E7028F" w:rsidRPr="00E7028F" w:rsidRDefault="00E7028F" w:rsidP="00E7028F">
            <w:pPr>
              <w:spacing w:after="0"/>
              <w:ind w:left="321"/>
              <w:jc w:val="left"/>
              <w:rPr>
                <w:szCs w:val="17"/>
              </w:rPr>
            </w:pPr>
            <w:r w:rsidRPr="00E7028F">
              <w:rPr>
                <w:szCs w:val="17"/>
              </w:rPr>
              <w:t>F13442</w:t>
            </w:r>
          </w:p>
        </w:tc>
        <w:tc>
          <w:tcPr>
            <w:tcW w:w="1422" w:type="dxa"/>
          </w:tcPr>
          <w:p w14:paraId="437C304F" w14:textId="77777777" w:rsidR="00E7028F" w:rsidRPr="00E7028F" w:rsidRDefault="00E7028F" w:rsidP="00E7028F">
            <w:pPr>
              <w:spacing w:after="0"/>
              <w:ind w:left="319"/>
              <w:jc w:val="left"/>
              <w:rPr>
                <w:szCs w:val="17"/>
              </w:rPr>
            </w:pPr>
            <w:r w:rsidRPr="00E7028F">
              <w:rPr>
                <w:szCs w:val="17"/>
              </w:rPr>
              <w:t>A437</w:t>
            </w:r>
          </w:p>
        </w:tc>
      </w:tr>
      <w:tr w:rsidR="00E7028F" w:rsidRPr="00E7028F" w14:paraId="753D3144" w14:textId="77777777" w:rsidTr="000E227A">
        <w:tc>
          <w:tcPr>
            <w:tcW w:w="4111" w:type="dxa"/>
          </w:tcPr>
          <w:p w14:paraId="1684BE54" w14:textId="77777777" w:rsidR="00E7028F" w:rsidRPr="00E7028F" w:rsidRDefault="00E7028F" w:rsidP="00E7028F">
            <w:pPr>
              <w:spacing w:after="0"/>
              <w:rPr>
                <w:szCs w:val="17"/>
              </w:rPr>
            </w:pPr>
            <w:r w:rsidRPr="00E7028F">
              <w:rPr>
                <w:szCs w:val="17"/>
              </w:rPr>
              <w:t>Unit 4, 93 Pedlar St, Seaton</w:t>
            </w:r>
          </w:p>
        </w:tc>
        <w:tc>
          <w:tcPr>
            <w:tcW w:w="1276" w:type="dxa"/>
          </w:tcPr>
          <w:p w14:paraId="7D865D07"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26ABBE72" w14:textId="77777777" w:rsidR="00E7028F" w:rsidRPr="00E7028F" w:rsidRDefault="00E7028F" w:rsidP="00E7028F">
            <w:pPr>
              <w:spacing w:after="0"/>
              <w:ind w:left="426"/>
            </w:pPr>
            <w:r w:rsidRPr="00E7028F">
              <w:t>348</w:t>
            </w:r>
          </w:p>
        </w:tc>
        <w:tc>
          <w:tcPr>
            <w:tcW w:w="1417" w:type="dxa"/>
          </w:tcPr>
          <w:p w14:paraId="25B5DA48" w14:textId="77777777" w:rsidR="00E7028F" w:rsidRPr="00E7028F" w:rsidRDefault="00E7028F" w:rsidP="00E7028F">
            <w:pPr>
              <w:spacing w:after="0"/>
              <w:ind w:left="321"/>
              <w:jc w:val="left"/>
              <w:rPr>
                <w:szCs w:val="17"/>
              </w:rPr>
            </w:pPr>
            <w:r w:rsidRPr="00E7028F">
              <w:rPr>
                <w:szCs w:val="17"/>
              </w:rPr>
              <w:t>F13442</w:t>
            </w:r>
          </w:p>
        </w:tc>
        <w:tc>
          <w:tcPr>
            <w:tcW w:w="1422" w:type="dxa"/>
          </w:tcPr>
          <w:p w14:paraId="4C83BED8" w14:textId="77777777" w:rsidR="00E7028F" w:rsidRPr="00E7028F" w:rsidRDefault="00E7028F" w:rsidP="00E7028F">
            <w:pPr>
              <w:spacing w:after="0"/>
              <w:ind w:left="319"/>
              <w:jc w:val="left"/>
              <w:rPr>
                <w:szCs w:val="17"/>
              </w:rPr>
            </w:pPr>
            <w:r w:rsidRPr="00E7028F">
              <w:rPr>
                <w:szCs w:val="17"/>
              </w:rPr>
              <w:t>A437</w:t>
            </w:r>
          </w:p>
        </w:tc>
      </w:tr>
      <w:tr w:rsidR="00E7028F" w:rsidRPr="00E7028F" w14:paraId="0C5EB317" w14:textId="77777777" w:rsidTr="000E227A">
        <w:tc>
          <w:tcPr>
            <w:tcW w:w="4111" w:type="dxa"/>
          </w:tcPr>
          <w:p w14:paraId="479804E0" w14:textId="77777777" w:rsidR="00E7028F" w:rsidRPr="00E7028F" w:rsidRDefault="00E7028F" w:rsidP="00E7028F">
            <w:pPr>
              <w:spacing w:after="0"/>
              <w:rPr>
                <w:szCs w:val="17"/>
              </w:rPr>
            </w:pPr>
            <w:r w:rsidRPr="00E7028F">
              <w:rPr>
                <w:szCs w:val="17"/>
              </w:rPr>
              <w:t>Unit 5, 93 Pedlar St, Seaton</w:t>
            </w:r>
          </w:p>
        </w:tc>
        <w:tc>
          <w:tcPr>
            <w:tcW w:w="1276" w:type="dxa"/>
          </w:tcPr>
          <w:p w14:paraId="2DFFD2ED"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4A4BA7DD" w14:textId="77777777" w:rsidR="00E7028F" w:rsidRPr="00E7028F" w:rsidRDefault="00E7028F" w:rsidP="00E7028F">
            <w:pPr>
              <w:spacing w:after="0"/>
              <w:ind w:left="426"/>
            </w:pPr>
            <w:r w:rsidRPr="00E7028F">
              <w:t>348</w:t>
            </w:r>
          </w:p>
        </w:tc>
        <w:tc>
          <w:tcPr>
            <w:tcW w:w="1417" w:type="dxa"/>
          </w:tcPr>
          <w:p w14:paraId="537393FD" w14:textId="77777777" w:rsidR="00E7028F" w:rsidRPr="00E7028F" w:rsidRDefault="00E7028F" w:rsidP="00E7028F">
            <w:pPr>
              <w:spacing w:after="0"/>
              <w:ind w:left="321"/>
              <w:jc w:val="left"/>
              <w:rPr>
                <w:szCs w:val="17"/>
              </w:rPr>
            </w:pPr>
            <w:r w:rsidRPr="00E7028F">
              <w:rPr>
                <w:szCs w:val="17"/>
              </w:rPr>
              <w:t>F13442</w:t>
            </w:r>
          </w:p>
        </w:tc>
        <w:tc>
          <w:tcPr>
            <w:tcW w:w="1422" w:type="dxa"/>
          </w:tcPr>
          <w:p w14:paraId="14012E6C" w14:textId="77777777" w:rsidR="00E7028F" w:rsidRPr="00E7028F" w:rsidRDefault="00E7028F" w:rsidP="00E7028F">
            <w:pPr>
              <w:spacing w:after="0"/>
              <w:ind w:left="319"/>
              <w:jc w:val="left"/>
              <w:rPr>
                <w:szCs w:val="17"/>
              </w:rPr>
            </w:pPr>
            <w:r w:rsidRPr="00E7028F">
              <w:rPr>
                <w:szCs w:val="17"/>
              </w:rPr>
              <w:t>A437</w:t>
            </w:r>
          </w:p>
        </w:tc>
      </w:tr>
      <w:tr w:rsidR="00E7028F" w:rsidRPr="00E7028F" w14:paraId="59F1D49A" w14:textId="77777777" w:rsidTr="000E227A">
        <w:tc>
          <w:tcPr>
            <w:tcW w:w="4111" w:type="dxa"/>
          </w:tcPr>
          <w:p w14:paraId="28092245" w14:textId="77777777" w:rsidR="00E7028F" w:rsidRPr="00E7028F" w:rsidRDefault="00E7028F" w:rsidP="00E7028F">
            <w:pPr>
              <w:spacing w:after="0"/>
              <w:rPr>
                <w:szCs w:val="17"/>
              </w:rPr>
            </w:pPr>
            <w:r w:rsidRPr="00E7028F">
              <w:rPr>
                <w:szCs w:val="17"/>
              </w:rPr>
              <w:t>Unit 6, 93 Pedlar St, Seaton</w:t>
            </w:r>
          </w:p>
        </w:tc>
        <w:tc>
          <w:tcPr>
            <w:tcW w:w="1276" w:type="dxa"/>
          </w:tcPr>
          <w:p w14:paraId="01746B4A"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6A44AE87" w14:textId="77777777" w:rsidR="00E7028F" w:rsidRPr="00E7028F" w:rsidRDefault="00E7028F" w:rsidP="00E7028F">
            <w:pPr>
              <w:spacing w:after="0"/>
              <w:ind w:left="426"/>
            </w:pPr>
            <w:r w:rsidRPr="00E7028F">
              <w:t>348</w:t>
            </w:r>
          </w:p>
        </w:tc>
        <w:tc>
          <w:tcPr>
            <w:tcW w:w="1417" w:type="dxa"/>
          </w:tcPr>
          <w:p w14:paraId="67E8572B" w14:textId="77777777" w:rsidR="00E7028F" w:rsidRPr="00E7028F" w:rsidRDefault="00E7028F" w:rsidP="00E7028F">
            <w:pPr>
              <w:spacing w:after="0"/>
              <w:ind w:left="321"/>
              <w:jc w:val="left"/>
              <w:rPr>
                <w:szCs w:val="17"/>
              </w:rPr>
            </w:pPr>
            <w:r w:rsidRPr="00E7028F">
              <w:rPr>
                <w:szCs w:val="17"/>
              </w:rPr>
              <w:t>F13442</w:t>
            </w:r>
          </w:p>
        </w:tc>
        <w:tc>
          <w:tcPr>
            <w:tcW w:w="1422" w:type="dxa"/>
          </w:tcPr>
          <w:p w14:paraId="57650807" w14:textId="77777777" w:rsidR="00E7028F" w:rsidRPr="00E7028F" w:rsidRDefault="00E7028F" w:rsidP="00E7028F">
            <w:pPr>
              <w:spacing w:after="0"/>
              <w:ind w:left="319"/>
              <w:jc w:val="left"/>
              <w:rPr>
                <w:szCs w:val="17"/>
              </w:rPr>
            </w:pPr>
            <w:r w:rsidRPr="00E7028F">
              <w:rPr>
                <w:szCs w:val="17"/>
              </w:rPr>
              <w:t>A437</w:t>
            </w:r>
          </w:p>
        </w:tc>
      </w:tr>
      <w:tr w:rsidR="00E7028F" w:rsidRPr="00E7028F" w14:paraId="24C41CA3" w14:textId="77777777" w:rsidTr="000E227A">
        <w:tc>
          <w:tcPr>
            <w:tcW w:w="4111" w:type="dxa"/>
          </w:tcPr>
          <w:p w14:paraId="2D75EC8A" w14:textId="77777777" w:rsidR="00E7028F" w:rsidRPr="00E7028F" w:rsidRDefault="00E7028F" w:rsidP="00E7028F">
            <w:pPr>
              <w:spacing w:after="0"/>
              <w:rPr>
                <w:szCs w:val="17"/>
              </w:rPr>
            </w:pPr>
            <w:r w:rsidRPr="00E7028F">
              <w:rPr>
                <w:szCs w:val="17"/>
              </w:rPr>
              <w:t>Unit 7, 93 Pedlar St, Seaton</w:t>
            </w:r>
          </w:p>
        </w:tc>
        <w:tc>
          <w:tcPr>
            <w:tcW w:w="1276" w:type="dxa"/>
          </w:tcPr>
          <w:p w14:paraId="200046BF"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45A6D458" w14:textId="77777777" w:rsidR="00E7028F" w:rsidRPr="00E7028F" w:rsidRDefault="00E7028F" w:rsidP="00E7028F">
            <w:pPr>
              <w:spacing w:after="0"/>
              <w:ind w:left="426"/>
            </w:pPr>
            <w:r w:rsidRPr="00E7028F">
              <w:t>348</w:t>
            </w:r>
          </w:p>
        </w:tc>
        <w:tc>
          <w:tcPr>
            <w:tcW w:w="1417" w:type="dxa"/>
          </w:tcPr>
          <w:p w14:paraId="2C2D0E55" w14:textId="77777777" w:rsidR="00E7028F" w:rsidRPr="00E7028F" w:rsidRDefault="00E7028F" w:rsidP="00E7028F">
            <w:pPr>
              <w:spacing w:after="0"/>
              <w:ind w:left="321"/>
              <w:jc w:val="left"/>
              <w:rPr>
                <w:szCs w:val="17"/>
              </w:rPr>
            </w:pPr>
            <w:r w:rsidRPr="00E7028F">
              <w:rPr>
                <w:szCs w:val="17"/>
              </w:rPr>
              <w:t>F13442</w:t>
            </w:r>
          </w:p>
        </w:tc>
        <w:tc>
          <w:tcPr>
            <w:tcW w:w="1422" w:type="dxa"/>
          </w:tcPr>
          <w:p w14:paraId="578BAEF7" w14:textId="77777777" w:rsidR="00E7028F" w:rsidRPr="00E7028F" w:rsidRDefault="00E7028F" w:rsidP="00E7028F">
            <w:pPr>
              <w:spacing w:after="0"/>
              <w:ind w:left="319"/>
              <w:jc w:val="left"/>
              <w:rPr>
                <w:szCs w:val="17"/>
              </w:rPr>
            </w:pPr>
            <w:r w:rsidRPr="00E7028F">
              <w:rPr>
                <w:szCs w:val="17"/>
              </w:rPr>
              <w:t>A437</w:t>
            </w:r>
          </w:p>
        </w:tc>
      </w:tr>
      <w:tr w:rsidR="00E7028F" w:rsidRPr="00E7028F" w14:paraId="42886431" w14:textId="77777777" w:rsidTr="000E227A">
        <w:tc>
          <w:tcPr>
            <w:tcW w:w="4111" w:type="dxa"/>
          </w:tcPr>
          <w:p w14:paraId="128B6A11" w14:textId="77777777" w:rsidR="00E7028F" w:rsidRPr="00E7028F" w:rsidRDefault="00E7028F" w:rsidP="00E7028F">
            <w:pPr>
              <w:spacing w:after="0"/>
              <w:rPr>
                <w:szCs w:val="17"/>
              </w:rPr>
            </w:pPr>
            <w:r w:rsidRPr="00E7028F">
              <w:rPr>
                <w:szCs w:val="17"/>
              </w:rPr>
              <w:t>Unit 8, 93 Pedlar St, Seaton</w:t>
            </w:r>
          </w:p>
        </w:tc>
        <w:tc>
          <w:tcPr>
            <w:tcW w:w="1276" w:type="dxa"/>
          </w:tcPr>
          <w:p w14:paraId="0970C148"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45B395FD" w14:textId="77777777" w:rsidR="00E7028F" w:rsidRPr="00E7028F" w:rsidRDefault="00E7028F" w:rsidP="00E7028F">
            <w:pPr>
              <w:spacing w:after="0"/>
              <w:ind w:left="426"/>
            </w:pPr>
            <w:r w:rsidRPr="00E7028F">
              <w:t>348</w:t>
            </w:r>
          </w:p>
        </w:tc>
        <w:tc>
          <w:tcPr>
            <w:tcW w:w="1417" w:type="dxa"/>
          </w:tcPr>
          <w:p w14:paraId="158DD28B" w14:textId="77777777" w:rsidR="00E7028F" w:rsidRPr="00E7028F" w:rsidRDefault="00E7028F" w:rsidP="00E7028F">
            <w:pPr>
              <w:spacing w:after="0"/>
              <w:ind w:left="321"/>
              <w:jc w:val="left"/>
              <w:rPr>
                <w:szCs w:val="17"/>
              </w:rPr>
            </w:pPr>
            <w:r w:rsidRPr="00E7028F">
              <w:rPr>
                <w:szCs w:val="17"/>
              </w:rPr>
              <w:t>F13442</w:t>
            </w:r>
          </w:p>
        </w:tc>
        <w:tc>
          <w:tcPr>
            <w:tcW w:w="1422" w:type="dxa"/>
          </w:tcPr>
          <w:p w14:paraId="7CD2EAD8" w14:textId="77777777" w:rsidR="00E7028F" w:rsidRPr="00E7028F" w:rsidRDefault="00E7028F" w:rsidP="00E7028F">
            <w:pPr>
              <w:spacing w:after="0"/>
              <w:ind w:left="319"/>
              <w:jc w:val="left"/>
              <w:rPr>
                <w:szCs w:val="17"/>
              </w:rPr>
            </w:pPr>
            <w:r w:rsidRPr="00E7028F">
              <w:rPr>
                <w:szCs w:val="17"/>
              </w:rPr>
              <w:t>A437</w:t>
            </w:r>
          </w:p>
        </w:tc>
      </w:tr>
      <w:tr w:rsidR="00E7028F" w:rsidRPr="00E7028F" w14:paraId="5AEE7001" w14:textId="77777777" w:rsidTr="000E227A">
        <w:tc>
          <w:tcPr>
            <w:tcW w:w="4111" w:type="dxa"/>
          </w:tcPr>
          <w:p w14:paraId="0578923B" w14:textId="77777777" w:rsidR="00E7028F" w:rsidRPr="00E7028F" w:rsidRDefault="00E7028F" w:rsidP="00E7028F">
            <w:pPr>
              <w:spacing w:after="0"/>
              <w:rPr>
                <w:szCs w:val="17"/>
              </w:rPr>
            </w:pPr>
            <w:r w:rsidRPr="00E7028F">
              <w:rPr>
                <w:szCs w:val="17"/>
              </w:rPr>
              <w:t>Unit 9, 13 Harris Pl, Seaton</w:t>
            </w:r>
          </w:p>
        </w:tc>
        <w:tc>
          <w:tcPr>
            <w:tcW w:w="1276" w:type="dxa"/>
          </w:tcPr>
          <w:p w14:paraId="7D8EA085"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63B10C45" w14:textId="77777777" w:rsidR="00E7028F" w:rsidRPr="00E7028F" w:rsidRDefault="00E7028F" w:rsidP="00E7028F">
            <w:pPr>
              <w:spacing w:after="0"/>
              <w:ind w:left="426"/>
            </w:pPr>
            <w:r w:rsidRPr="00E7028F">
              <w:t>348</w:t>
            </w:r>
          </w:p>
        </w:tc>
        <w:tc>
          <w:tcPr>
            <w:tcW w:w="1417" w:type="dxa"/>
          </w:tcPr>
          <w:p w14:paraId="1A3099F2" w14:textId="77777777" w:rsidR="00E7028F" w:rsidRPr="00E7028F" w:rsidRDefault="00E7028F" w:rsidP="00E7028F">
            <w:pPr>
              <w:spacing w:after="0"/>
              <w:ind w:left="321"/>
              <w:jc w:val="left"/>
              <w:rPr>
                <w:szCs w:val="17"/>
              </w:rPr>
            </w:pPr>
            <w:r w:rsidRPr="00E7028F">
              <w:rPr>
                <w:szCs w:val="17"/>
              </w:rPr>
              <w:t>F13442</w:t>
            </w:r>
          </w:p>
        </w:tc>
        <w:tc>
          <w:tcPr>
            <w:tcW w:w="1422" w:type="dxa"/>
          </w:tcPr>
          <w:p w14:paraId="558E9B73" w14:textId="77777777" w:rsidR="00E7028F" w:rsidRPr="00E7028F" w:rsidRDefault="00E7028F" w:rsidP="00E7028F">
            <w:pPr>
              <w:spacing w:after="0"/>
              <w:ind w:left="319"/>
              <w:jc w:val="left"/>
              <w:rPr>
                <w:szCs w:val="17"/>
              </w:rPr>
            </w:pPr>
            <w:r w:rsidRPr="00E7028F">
              <w:rPr>
                <w:szCs w:val="17"/>
              </w:rPr>
              <w:t>A437</w:t>
            </w:r>
          </w:p>
        </w:tc>
      </w:tr>
      <w:tr w:rsidR="00E7028F" w:rsidRPr="00E7028F" w14:paraId="01435328" w14:textId="77777777" w:rsidTr="000E227A">
        <w:tc>
          <w:tcPr>
            <w:tcW w:w="4111" w:type="dxa"/>
          </w:tcPr>
          <w:p w14:paraId="084BBF6B" w14:textId="77777777" w:rsidR="00E7028F" w:rsidRPr="00E7028F" w:rsidRDefault="00E7028F" w:rsidP="00E7028F">
            <w:pPr>
              <w:spacing w:after="0"/>
              <w:rPr>
                <w:szCs w:val="17"/>
              </w:rPr>
            </w:pPr>
            <w:r w:rsidRPr="00E7028F">
              <w:rPr>
                <w:szCs w:val="17"/>
              </w:rPr>
              <w:t>Unit 10, 13 Harris Pl, Seaton</w:t>
            </w:r>
          </w:p>
        </w:tc>
        <w:tc>
          <w:tcPr>
            <w:tcW w:w="1276" w:type="dxa"/>
          </w:tcPr>
          <w:p w14:paraId="5CFB124F"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26FA4182" w14:textId="77777777" w:rsidR="00E7028F" w:rsidRPr="00E7028F" w:rsidRDefault="00E7028F" w:rsidP="00E7028F">
            <w:pPr>
              <w:spacing w:after="0"/>
              <w:ind w:left="426"/>
            </w:pPr>
            <w:r w:rsidRPr="00E7028F">
              <w:t>348</w:t>
            </w:r>
          </w:p>
        </w:tc>
        <w:tc>
          <w:tcPr>
            <w:tcW w:w="1417" w:type="dxa"/>
          </w:tcPr>
          <w:p w14:paraId="69AFE5C6" w14:textId="77777777" w:rsidR="00E7028F" w:rsidRPr="00E7028F" w:rsidRDefault="00E7028F" w:rsidP="00E7028F">
            <w:pPr>
              <w:spacing w:after="0"/>
              <w:ind w:left="321"/>
              <w:jc w:val="left"/>
              <w:rPr>
                <w:szCs w:val="17"/>
              </w:rPr>
            </w:pPr>
            <w:r w:rsidRPr="00E7028F">
              <w:rPr>
                <w:szCs w:val="17"/>
              </w:rPr>
              <w:t>F13442</w:t>
            </w:r>
          </w:p>
        </w:tc>
        <w:tc>
          <w:tcPr>
            <w:tcW w:w="1422" w:type="dxa"/>
          </w:tcPr>
          <w:p w14:paraId="1C0EDD0F" w14:textId="77777777" w:rsidR="00E7028F" w:rsidRPr="00E7028F" w:rsidRDefault="00E7028F" w:rsidP="00E7028F">
            <w:pPr>
              <w:spacing w:after="0"/>
              <w:ind w:left="319"/>
              <w:jc w:val="left"/>
              <w:rPr>
                <w:szCs w:val="17"/>
              </w:rPr>
            </w:pPr>
            <w:r w:rsidRPr="00E7028F">
              <w:rPr>
                <w:szCs w:val="17"/>
              </w:rPr>
              <w:t>A437</w:t>
            </w:r>
          </w:p>
        </w:tc>
      </w:tr>
      <w:tr w:rsidR="00E7028F" w:rsidRPr="00E7028F" w14:paraId="78750473" w14:textId="77777777" w:rsidTr="000E227A">
        <w:tc>
          <w:tcPr>
            <w:tcW w:w="4111" w:type="dxa"/>
          </w:tcPr>
          <w:p w14:paraId="0ED9DCAF" w14:textId="77777777" w:rsidR="00E7028F" w:rsidRPr="00E7028F" w:rsidRDefault="00E7028F" w:rsidP="00E7028F">
            <w:pPr>
              <w:spacing w:after="0"/>
              <w:rPr>
                <w:szCs w:val="17"/>
              </w:rPr>
            </w:pPr>
            <w:r w:rsidRPr="00E7028F">
              <w:rPr>
                <w:szCs w:val="17"/>
              </w:rPr>
              <w:t>Unit 11, 13 Harris Pl, Seaton</w:t>
            </w:r>
          </w:p>
        </w:tc>
        <w:tc>
          <w:tcPr>
            <w:tcW w:w="1276" w:type="dxa"/>
          </w:tcPr>
          <w:p w14:paraId="56F3CD10"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620EB996" w14:textId="77777777" w:rsidR="00E7028F" w:rsidRPr="00E7028F" w:rsidRDefault="00E7028F" w:rsidP="00E7028F">
            <w:pPr>
              <w:spacing w:after="0"/>
              <w:ind w:left="426"/>
            </w:pPr>
            <w:r w:rsidRPr="00E7028F">
              <w:t>348</w:t>
            </w:r>
          </w:p>
        </w:tc>
        <w:tc>
          <w:tcPr>
            <w:tcW w:w="1417" w:type="dxa"/>
          </w:tcPr>
          <w:p w14:paraId="69F29EAF" w14:textId="77777777" w:rsidR="00E7028F" w:rsidRPr="00E7028F" w:rsidRDefault="00E7028F" w:rsidP="00E7028F">
            <w:pPr>
              <w:spacing w:after="0"/>
              <w:ind w:left="321"/>
              <w:jc w:val="left"/>
              <w:rPr>
                <w:szCs w:val="17"/>
              </w:rPr>
            </w:pPr>
            <w:r w:rsidRPr="00E7028F">
              <w:rPr>
                <w:szCs w:val="17"/>
              </w:rPr>
              <w:t>F13442</w:t>
            </w:r>
          </w:p>
        </w:tc>
        <w:tc>
          <w:tcPr>
            <w:tcW w:w="1422" w:type="dxa"/>
          </w:tcPr>
          <w:p w14:paraId="1BBE8EB2" w14:textId="77777777" w:rsidR="00E7028F" w:rsidRPr="00E7028F" w:rsidRDefault="00E7028F" w:rsidP="00E7028F">
            <w:pPr>
              <w:spacing w:after="0"/>
              <w:ind w:left="319"/>
              <w:jc w:val="left"/>
              <w:rPr>
                <w:szCs w:val="17"/>
              </w:rPr>
            </w:pPr>
            <w:r w:rsidRPr="00E7028F">
              <w:rPr>
                <w:szCs w:val="17"/>
              </w:rPr>
              <w:t>A437</w:t>
            </w:r>
          </w:p>
        </w:tc>
      </w:tr>
      <w:tr w:rsidR="00E7028F" w:rsidRPr="00E7028F" w14:paraId="630C86A1" w14:textId="77777777" w:rsidTr="000E227A">
        <w:tc>
          <w:tcPr>
            <w:tcW w:w="4111" w:type="dxa"/>
          </w:tcPr>
          <w:p w14:paraId="3C389C0D" w14:textId="77777777" w:rsidR="00E7028F" w:rsidRPr="00E7028F" w:rsidRDefault="00E7028F" w:rsidP="00E7028F">
            <w:pPr>
              <w:spacing w:after="0"/>
              <w:rPr>
                <w:szCs w:val="17"/>
              </w:rPr>
            </w:pPr>
            <w:r w:rsidRPr="00E7028F">
              <w:rPr>
                <w:szCs w:val="17"/>
              </w:rPr>
              <w:t>Unit 12, 13 Harris Pl, Seaton</w:t>
            </w:r>
          </w:p>
        </w:tc>
        <w:tc>
          <w:tcPr>
            <w:tcW w:w="1276" w:type="dxa"/>
          </w:tcPr>
          <w:p w14:paraId="62C76454"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1660E0E8" w14:textId="77777777" w:rsidR="00E7028F" w:rsidRPr="00E7028F" w:rsidRDefault="00E7028F" w:rsidP="00E7028F">
            <w:pPr>
              <w:spacing w:after="0"/>
              <w:ind w:left="426"/>
            </w:pPr>
            <w:r w:rsidRPr="00E7028F">
              <w:t>348</w:t>
            </w:r>
          </w:p>
        </w:tc>
        <w:tc>
          <w:tcPr>
            <w:tcW w:w="1417" w:type="dxa"/>
          </w:tcPr>
          <w:p w14:paraId="1DA0D776" w14:textId="77777777" w:rsidR="00E7028F" w:rsidRPr="00E7028F" w:rsidRDefault="00E7028F" w:rsidP="00E7028F">
            <w:pPr>
              <w:spacing w:after="0"/>
              <w:ind w:left="321"/>
              <w:jc w:val="left"/>
              <w:rPr>
                <w:szCs w:val="17"/>
              </w:rPr>
            </w:pPr>
            <w:r w:rsidRPr="00E7028F">
              <w:rPr>
                <w:szCs w:val="17"/>
              </w:rPr>
              <w:t>F13442</w:t>
            </w:r>
          </w:p>
        </w:tc>
        <w:tc>
          <w:tcPr>
            <w:tcW w:w="1422" w:type="dxa"/>
          </w:tcPr>
          <w:p w14:paraId="3E767FAB" w14:textId="77777777" w:rsidR="00E7028F" w:rsidRPr="00E7028F" w:rsidRDefault="00E7028F" w:rsidP="00E7028F">
            <w:pPr>
              <w:spacing w:after="0"/>
              <w:ind w:left="319"/>
              <w:jc w:val="left"/>
              <w:rPr>
                <w:szCs w:val="17"/>
              </w:rPr>
            </w:pPr>
            <w:r w:rsidRPr="00E7028F">
              <w:rPr>
                <w:szCs w:val="17"/>
              </w:rPr>
              <w:t>A437</w:t>
            </w:r>
          </w:p>
        </w:tc>
      </w:tr>
      <w:tr w:rsidR="00E7028F" w:rsidRPr="00E7028F" w14:paraId="56CF4856" w14:textId="77777777" w:rsidTr="000E227A">
        <w:tc>
          <w:tcPr>
            <w:tcW w:w="4111" w:type="dxa"/>
          </w:tcPr>
          <w:p w14:paraId="7295C193" w14:textId="77777777" w:rsidR="00E7028F" w:rsidRPr="00E7028F" w:rsidRDefault="00E7028F" w:rsidP="00E7028F">
            <w:pPr>
              <w:spacing w:after="0"/>
              <w:rPr>
                <w:szCs w:val="17"/>
              </w:rPr>
            </w:pPr>
            <w:r w:rsidRPr="00E7028F">
              <w:rPr>
                <w:szCs w:val="17"/>
              </w:rPr>
              <w:t>Unit 13, 13 Harris Pl, Seaton</w:t>
            </w:r>
          </w:p>
        </w:tc>
        <w:tc>
          <w:tcPr>
            <w:tcW w:w="1276" w:type="dxa"/>
          </w:tcPr>
          <w:p w14:paraId="7630249A"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2FF9200F" w14:textId="77777777" w:rsidR="00E7028F" w:rsidRPr="00E7028F" w:rsidRDefault="00E7028F" w:rsidP="00E7028F">
            <w:pPr>
              <w:spacing w:after="0"/>
              <w:ind w:left="426"/>
            </w:pPr>
            <w:r w:rsidRPr="00E7028F">
              <w:t>348</w:t>
            </w:r>
          </w:p>
        </w:tc>
        <w:tc>
          <w:tcPr>
            <w:tcW w:w="1417" w:type="dxa"/>
          </w:tcPr>
          <w:p w14:paraId="034F9986" w14:textId="77777777" w:rsidR="00E7028F" w:rsidRPr="00E7028F" w:rsidRDefault="00E7028F" w:rsidP="00E7028F">
            <w:pPr>
              <w:spacing w:after="0"/>
              <w:ind w:left="321"/>
              <w:jc w:val="left"/>
              <w:rPr>
                <w:szCs w:val="17"/>
              </w:rPr>
            </w:pPr>
            <w:r w:rsidRPr="00E7028F">
              <w:rPr>
                <w:szCs w:val="17"/>
              </w:rPr>
              <w:t>F13442</w:t>
            </w:r>
          </w:p>
        </w:tc>
        <w:tc>
          <w:tcPr>
            <w:tcW w:w="1422" w:type="dxa"/>
          </w:tcPr>
          <w:p w14:paraId="1FC15464" w14:textId="77777777" w:rsidR="00E7028F" w:rsidRPr="00E7028F" w:rsidRDefault="00E7028F" w:rsidP="00E7028F">
            <w:pPr>
              <w:spacing w:after="0"/>
              <w:ind w:left="319"/>
              <w:jc w:val="left"/>
              <w:rPr>
                <w:szCs w:val="17"/>
              </w:rPr>
            </w:pPr>
            <w:r w:rsidRPr="00E7028F">
              <w:rPr>
                <w:szCs w:val="17"/>
              </w:rPr>
              <w:t>A437</w:t>
            </w:r>
          </w:p>
        </w:tc>
      </w:tr>
      <w:tr w:rsidR="00E7028F" w:rsidRPr="00E7028F" w14:paraId="21045DF7" w14:textId="77777777" w:rsidTr="000E227A">
        <w:tc>
          <w:tcPr>
            <w:tcW w:w="4111" w:type="dxa"/>
          </w:tcPr>
          <w:p w14:paraId="6916EB13" w14:textId="77777777" w:rsidR="00E7028F" w:rsidRPr="00E7028F" w:rsidRDefault="00E7028F" w:rsidP="00E7028F">
            <w:pPr>
              <w:spacing w:after="0"/>
              <w:rPr>
                <w:szCs w:val="17"/>
              </w:rPr>
            </w:pPr>
            <w:r w:rsidRPr="00E7028F">
              <w:rPr>
                <w:szCs w:val="17"/>
              </w:rPr>
              <w:t>Unit 14, 13 Harris Pl, Seaton</w:t>
            </w:r>
          </w:p>
        </w:tc>
        <w:tc>
          <w:tcPr>
            <w:tcW w:w="1276" w:type="dxa"/>
          </w:tcPr>
          <w:p w14:paraId="2F451DF5"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099B029E" w14:textId="77777777" w:rsidR="00E7028F" w:rsidRPr="00E7028F" w:rsidRDefault="00E7028F" w:rsidP="00E7028F">
            <w:pPr>
              <w:spacing w:after="0"/>
              <w:ind w:left="426"/>
            </w:pPr>
            <w:r w:rsidRPr="00E7028F">
              <w:t>348</w:t>
            </w:r>
          </w:p>
        </w:tc>
        <w:tc>
          <w:tcPr>
            <w:tcW w:w="1417" w:type="dxa"/>
          </w:tcPr>
          <w:p w14:paraId="1AC02D3C" w14:textId="77777777" w:rsidR="00E7028F" w:rsidRPr="00E7028F" w:rsidRDefault="00E7028F" w:rsidP="00E7028F">
            <w:pPr>
              <w:spacing w:after="0"/>
              <w:ind w:left="321"/>
              <w:jc w:val="left"/>
              <w:rPr>
                <w:szCs w:val="17"/>
              </w:rPr>
            </w:pPr>
            <w:r w:rsidRPr="00E7028F">
              <w:rPr>
                <w:szCs w:val="17"/>
              </w:rPr>
              <w:t>F13442</w:t>
            </w:r>
          </w:p>
        </w:tc>
        <w:tc>
          <w:tcPr>
            <w:tcW w:w="1422" w:type="dxa"/>
          </w:tcPr>
          <w:p w14:paraId="5994155C" w14:textId="77777777" w:rsidR="00E7028F" w:rsidRPr="00E7028F" w:rsidRDefault="00E7028F" w:rsidP="00E7028F">
            <w:pPr>
              <w:spacing w:after="0"/>
              <w:ind w:left="319"/>
              <w:jc w:val="left"/>
              <w:rPr>
                <w:szCs w:val="17"/>
              </w:rPr>
            </w:pPr>
            <w:r w:rsidRPr="00E7028F">
              <w:rPr>
                <w:szCs w:val="17"/>
              </w:rPr>
              <w:t>A437</w:t>
            </w:r>
          </w:p>
        </w:tc>
      </w:tr>
      <w:tr w:rsidR="00E7028F" w:rsidRPr="00E7028F" w14:paraId="205097C5" w14:textId="77777777" w:rsidTr="000E227A">
        <w:tc>
          <w:tcPr>
            <w:tcW w:w="4111" w:type="dxa"/>
          </w:tcPr>
          <w:p w14:paraId="3F9583A7" w14:textId="77777777" w:rsidR="00E7028F" w:rsidRPr="00E7028F" w:rsidRDefault="00E7028F" w:rsidP="00E7028F">
            <w:pPr>
              <w:spacing w:after="0"/>
              <w:rPr>
                <w:szCs w:val="17"/>
              </w:rPr>
            </w:pPr>
            <w:r w:rsidRPr="00E7028F">
              <w:rPr>
                <w:szCs w:val="17"/>
              </w:rPr>
              <w:t>Unit 15, 13 Harris Pl, Seaton</w:t>
            </w:r>
          </w:p>
        </w:tc>
        <w:tc>
          <w:tcPr>
            <w:tcW w:w="1276" w:type="dxa"/>
          </w:tcPr>
          <w:p w14:paraId="65E87CFA"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230F5E76" w14:textId="77777777" w:rsidR="00E7028F" w:rsidRPr="00E7028F" w:rsidRDefault="00E7028F" w:rsidP="00E7028F">
            <w:pPr>
              <w:spacing w:after="0"/>
              <w:ind w:left="426"/>
            </w:pPr>
            <w:r w:rsidRPr="00E7028F">
              <w:t>348</w:t>
            </w:r>
          </w:p>
        </w:tc>
        <w:tc>
          <w:tcPr>
            <w:tcW w:w="1417" w:type="dxa"/>
          </w:tcPr>
          <w:p w14:paraId="1FA78DF7" w14:textId="77777777" w:rsidR="00E7028F" w:rsidRPr="00E7028F" w:rsidRDefault="00E7028F" w:rsidP="00E7028F">
            <w:pPr>
              <w:spacing w:after="0"/>
              <w:ind w:left="321"/>
              <w:jc w:val="left"/>
              <w:rPr>
                <w:szCs w:val="17"/>
              </w:rPr>
            </w:pPr>
            <w:r w:rsidRPr="00E7028F">
              <w:rPr>
                <w:szCs w:val="17"/>
              </w:rPr>
              <w:t>F13442</w:t>
            </w:r>
          </w:p>
        </w:tc>
        <w:tc>
          <w:tcPr>
            <w:tcW w:w="1422" w:type="dxa"/>
          </w:tcPr>
          <w:p w14:paraId="79FDFFF0" w14:textId="77777777" w:rsidR="00E7028F" w:rsidRPr="00E7028F" w:rsidRDefault="00E7028F" w:rsidP="00E7028F">
            <w:pPr>
              <w:spacing w:after="0"/>
              <w:ind w:left="319"/>
              <w:jc w:val="left"/>
              <w:rPr>
                <w:szCs w:val="17"/>
              </w:rPr>
            </w:pPr>
            <w:r w:rsidRPr="00E7028F">
              <w:rPr>
                <w:szCs w:val="17"/>
              </w:rPr>
              <w:t>A437</w:t>
            </w:r>
          </w:p>
        </w:tc>
      </w:tr>
      <w:tr w:rsidR="00E7028F" w:rsidRPr="00E7028F" w14:paraId="6341169A" w14:textId="77777777" w:rsidTr="000E227A">
        <w:tc>
          <w:tcPr>
            <w:tcW w:w="4111" w:type="dxa"/>
          </w:tcPr>
          <w:p w14:paraId="4EDB2487" w14:textId="77777777" w:rsidR="00E7028F" w:rsidRPr="00E7028F" w:rsidRDefault="00E7028F" w:rsidP="00E7028F">
            <w:pPr>
              <w:spacing w:after="0"/>
              <w:rPr>
                <w:szCs w:val="17"/>
              </w:rPr>
            </w:pPr>
            <w:r w:rsidRPr="00E7028F">
              <w:rPr>
                <w:szCs w:val="17"/>
              </w:rPr>
              <w:t>Unit 16, 13 Harris Pl, Seaton</w:t>
            </w:r>
          </w:p>
        </w:tc>
        <w:tc>
          <w:tcPr>
            <w:tcW w:w="1276" w:type="dxa"/>
          </w:tcPr>
          <w:p w14:paraId="48151F37"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6D5B6874" w14:textId="77777777" w:rsidR="00E7028F" w:rsidRPr="00E7028F" w:rsidRDefault="00E7028F" w:rsidP="00E7028F">
            <w:pPr>
              <w:spacing w:after="0"/>
              <w:ind w:left="426"/>
            </w:pPr>
            <w:r w:rsidRPr="00E7028F">
              <w:t>348</w:t>
            </w:r>
          </w:p>
        </w:tc>
        <w:tc>
          <w:tcPr>
            <w:tcW w:w="1417" w:type="dxa"/>
          </w:tcPr>
          <w:p w14:paraId="66C3246C" w14:textId="77777777" w:rsidR="00E7028F" w:rsidRPr="00E7028F" w:rsidRDefault="00E7028F" w:rsidP="00E7028F">
            <w:pPr>
              <w:spacing w:after="0"/>
              <w:ind w:left="321"/>
              <w:jc w:val="left"/>
              <w:rPr>
                <w:szCs w:val="17"/>
              </w:rPr>
            </w:pPr>
            <w:r w:rsidRPr="00E7028F">
              <w:rPr>
                <w:szCs w:val="17"/>
              </w:rPr>
              <w:t>F13442</w:t>
            </w:r>
          </w:p>
        </w:tc>
        <w:tc>
          <w:tcPr>
            <w:tcW w:w="1422" w:type="dxa"/>
          </w:tcPr>
          <w:p w14:paraId="67592DDB" w14:textId="77777777" w:rsidR="00E7028F" w:rsidRPr="00E7028F" w:rsidRDefault="00E7028F" w:rsidP="00E7028F">
            <w:pPr>
              <w:spacing w:after="0"/>
              <w:ind w:left="319"/>
              <w:jc w:val="left"/>
              <w:rPr>
                <w:szCs w:val="17"/>
              </w:rPr>
            </w:pPr>
            <w:r w:rsidRPr="00E7028F">
              <w:rPr>
                <w:szCs w:val="17"/>
              </w:rPr>
              <w:t>A437</w:t>
            </w:r>
          </w:p>
        </w:tc>
      </w:tr>
      <w:tr w:rsidR="00E7028F" w:rsidRPr="00E7028F" w14:paraId="166FBBD1" w14:textId="77777777" w:rsidTr="000E227A">
        <w:tc>
          <w:tcPr>
            <w:tcW w:w="4111" w:type="dxa"/>
          </w:tcPr>
          <w:p w14:paraId="530D0F4D" w14:textId="77777777" w:rsidR="00E7028F" w:rsidRPr="00E7028F" w:rsidRDefault="00E7028F" w:rsidP="00E7028F">
            <w:pPr>
              <w:spacing w:after="0"/>
              <w:rPr>
                <w:szCs w:val="17"/>
              </w:rPr>
            </w:pPr>
            <w:r w:rsidRPr="00E7028F">
              <w:rPr>
                <w:szCs w:val="17"/>
              </w:rPr>
              <w:t>Unit 17, 13 Harris Pl, Seaton</w:t>
            </w:r>
          </w:p>
        </w:tc>
        <w:tc>
          <w:tcPr>
            <w:tcW w:w="1276" w:type="dxa"/>
          </w:tcPr>
          <w:p w14:paraId="3710D264"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1B6422DE" w14:textId="77777777" w:rsidR="00E7028F" w:rsidRPr="00E7028F" w:rsidRDefault="00E7028F" w:rsidP="00E7028F">
            <w:pPr>
              <w:spacing w:after="0"/>
              <w:ind w:left="426"/>
            </w:pPr>
            <w:r w:rsidRPr="00E7028F">
              <w:t>348</w:t>
            </w:r>
          </w:p>
        </w:tc>
        <w:tc>
          <w:tcPr>
            <w:tcW w:w="1417" w:type="dxa"/>
          </w:tcPr>
          <w:p w14:paraId="6B9A5EA3" w14:textId="77777777" w:rsidR="00E7028F" w:rsidRPr="00E7028F" w:rsidRDefault="00E7028F" w:rsidP="00E7028F">
            <w:pPr>
              <w:spacing w:after="0"/>
              <w:ind w:left="321"/>
              <w:jc w:val="left"/>
              <w:rPr>
                <w:szCs w:val="17"/>
              </w:rPr>
            </w:pPr>
            <w:r w:rsidRPr="00E7028F">
              <w:rPr>
                <w:szCs w:val="17"/>
              </w:rPr>
              <w:t>F13442</w:t>
            </w:r>
          </w:p>
        </w:tc>
        <w:tc>
          <w:tcPr>
            <w:tcW w:w="1422" w:type="dxa"/>
          </w:tcPr>
          <w:p w14:paraId="1C2D71B4" w14:textId="77777777" w:rsidR="00E7028F" w:rsidRPr="00E7028F" w:rsidRDefault="00E7028F" w:rsidP="00E7028F">
            <w:pPr>
              <w:spacing w:after="0"/>
              <w:ind w:left="319"/>
              <w:jc w:val="left"/>
              <w:rPr>
                <w:szCs w:val="17"/>
              </w:rPr>
            </w:pPr>
            <w:r w:rsidRPr="00E7028F">
              <w:rPr>
                <w:szCs w:val="17"/>
              </w:rPr>
              <w:t>A437</w:t>
            </w:r>
          </w:p>
        </w:tc>
      </w:tr>
      <w:tr w:rsidR="00E7028F" w:rsidRPr="00E7028F" w14:paraId="1C34F2D0" w14:textId="77777777" w:rsidTr="000E227A">
        <w:tc>
          <w:tcPr>
            <w:tcW w:w="4111" w:type="dxa"/>
          </w:tcPr>
          <w:p w14:paraId="578507F5" w14:textId="77777777" w:rsidR="00E7028F" w:rsidRPr="00E7028F" w:rsidRDefault="00E7028F" w:rsidP="00E7028F">
            <w:pPr>
              <w:spacing w:after="0"/>
              <w:rPr>
                <w:szCs w:val="17"/>
              </w:rPr>
            </w:pPr>
            <w:r w:rsidRPr="00E7028F">
              <w:rPr>
                <w:szCs w:val="17"/>
              </w:rPr>
              <w:t>Unit 19, 13 Harris Pl, Seaton</w:t>
            </w:r>
          </w:p>
        </w:tc>
        <w:tc>
          <w:tcPr>
            <w:tcW w:w="1276" w:type="dxa"/>
          </w:tcPr>
          <w:p w14:paraId="258F2356"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7F4B7234" w14:textId="77777777" w:rsidR="00E7028F" w:rsidRPr="00E7028F" w:rsidRDefault="00E7028F" w:rsidP="00E7028F">
            <w:pPr>
              <w:spacing w:after="0"/>
              <w:ind w:left="426"/>
            </w:pPr>
            <w:r w:rsidRPr="00E7028F">
              <w:t>348</w:t>
            </w:r>
          </w:p>
        </w:tc>
        <w:tc>
          <w:tcPr>
            <w:tcW w:w="1417" w:type="dxa"/>
          </w:tcPr>
          <w:p w14:paraId="0C693E8A" w14:textId="77777777" w:rsidR="00E7028F" w:rsidRPr="00E7028F" w:rsidRDefault="00E7028F" w:rsidP="00E7028F">
            <w:pPr>
              <w:spacing w:after="0"/>
              <w:ind w:left="321"/>
              <w:jc w:val="left"/>
              <w:rPr>
                <w:szCs w:val="17"/>
              </w:rPr>
            </w:pPr>
            <w:r w:rsidRPr="00E7028F">
              <w:rPr>
                <w:szCs w:val="17"/>
              </w:rPr>
              <w:t>F13442</w:t>
            </w:r>
          </w:p>
        </w:tc>
        <w:tc>
          <w:tcPr>
            <w:tcW w:w="1422" w:type="dxa"/>
          </w:tcPr>
          <w:p w14:paraId="3C90DB2C" w14:textId="77777777" w:rsidR="00E7028F" w:rsidRPr="00E7028F" w:rsidRDefault="00E7028F" w:rsidP="00E7028F">
            <w:pPr>
              <w:spacing w:after="0"/>
              <w:ind w:left="319"/>
              <w:jc w:val="left"/>
              <w:rPr>
                <w:szCs w:val="17"/>
              </w:rPr>
            </w:pPr>
            <w:r w:rsidRPr="00E7028F">
              <w:rPr>
                <w:szCs w:val="17"/>
              </w:rPr>
              <w:t>A437</w:t>
            </w:r>
          </w:p>
        </w:tc>
      </w:tr>
      <w:tr w:rsidR="00E7028F" w:rsidRPr="00E7028F" w14:paraId="2722300B" w14:textId="77777777" w:rsidTr="000E227A">
        <w:tc>
          <w:tcPr>
            <w:tcW w:w="4111" w:type="dxa"/>
          </w:tcPr>
          <w:p w14:paraId="3653E882" w14:textId="77777777" w:rsidR="00E7028F" w:rsidRPr="00E7028F" w:rsidRDefault="00E7028F" w:rsidP="00E7028F">
            <w:pPr>
              <w:spacing w:after="0"/>
              <w:rPr>
                <w:szCs w:val="17"/>
              </w:rPr>
            </w:pPr>
            <w:r w:rsidRPr="00E7028F">
              <w:rPr>
                <w:szCs w:val="17"/>
              </w:rPr>
              <w:t>Unit 20, 13 Harris Pl, Seaton</w:t>
            </w:r>
          </w:p>
        </w:tc>
        <w:tc>
          <w:tcPr>
            <w:tcW w:w="1276" w:type="dxa"/>
          </w:tcPr>
          <w:p w14:paraId="4C0B9FFD"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750581CD" w14:textId="77777777" w:rsidR="00E7028F" w:rsidRPr="00E7028F" w:rsidRDefault="00E7028F" w:rsidP="00E7028F">
            <w:pPr>
              <w:spacing w:after="0"/>
              <w:ind w:left="426"/>
            </w:pPr>
            <w:r w:rsidRPr="00E7028F">
              <w:t>348</w:t>
            </w:r>
          </w:p>
        </w:tc>
        <w:tc>
          <w:tcPr>
            <w:tcW w:w="1417" w:type="dxa"/>
          </w:tcPr>
          <w:p w14:paraId="6F518DF4" w14:textId="77777777" w:rsidR="00E7028F" w:rsidRPr="00E7028F" w:rsidRDefault="00E7028F" w:rsidP="00E7028F">
            <w:pPr>
              <w:spacing w:after="0"/>
              <w:ind w:left="321"/>
              <w:jc w:val="left"/>
              <w:rPr>
                <w:szCs w:val="17"/>
              </w:rPr>
            </w:pPr>
            <w:r w:rsidRPr="00E7028F">
              <w:rPr>
                <w:szCs w:val="17"/>
              </w:rPr>
              <w:t>F13442</w:t>
            </w:r>
          </w:p>
        </w:tc>
        <w:tc>
          <w:tcPr>
            <w:tcW w:w="1422" w:type="dxa"/>
          </w:tcPr>
          <w:p w14:paraId="26BFCCD8" w14:textId="77777777" w:rsidR="00E7028F" w:rsidRPr="00E7028F" w:rsidRDefault="00E7028F" w:rsidP="00E7028F">
            <w:pPr>
              <w:spacing w:after="0"/>
              <w:ind w:left="319"/>
              <w:jc w:val="left"/>
              <w:rPr>
                <w:szCs w:val="17"/>
              </w:rPr>
            </w:pPr>
            <w:r w:rsidRPr="00E7028F">
              <w:rPr>
                <w:szCs w:val="17"/>
              </w:rPr>
              <w:t>A437</w:t>
            </w:r>
          </w:p>
        </w:tc>
      </w:tr>
      <w:tr w:rsidR="00E7028F" w:rsidRPr="00E7028F" w14:paraId="707D295A" w14:textId="77777777" w:rsidTr="000E227A">
        <w:tc>
          <w:tcPr>
            <w:tcW w:w="4111" w:type="dxa"/>
          </w:tcPr>
          <w:p w14:paraId="6599EAF6" w14:textId="77777777" w:rsidR="00E7028F" w:rsidRPr="00E7028F" w:rsidRDefault="00E7028F" w:rsidP="00E7028F">
            <w:pPr>
              <w:spacing w:after="0"/>
              <w:rPr>
                <w:szCs w:val="17"/>
              </w:rPr>
            </w:pPr>
            <w:r w:rsidRPr="00E7028F">
              <w:rPr>
                <w:szCs w:val="17"/>
              </w:rPr>
              <w:t>Unit 21, 13 Harris Pl, Seaton</w:t>
            </w:r>
          </w:p>
        </w:tc>
        <w:tc>
          <w:tcPr>
            <w:tcW w:w="1276" w:type="dxa"/>
          </w:tcPr>
          <w:p w14:paraId="5CD7DED2"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608BF701" w14:textId="77777777" w:rsidR="00E7028F" w:rsidRPr="00E7028F" w:rsidRDefault="00E7028F" w:rsidP="00E7028F">
            <w:pPr>
              <w:spacing w:after="0"/>
              <w:ind w:left="426"/>
            </w:pPr>
            <w:r w:rsidRPr="00E7028F">
              <w:t>348</w:t>
            </w:r>
          </w:p>
        </w:tc>
        <w:tc>
          <w:tcPr>
            <w:tcW w:w="1417" w:type="dxa"/>
          </w:tcPr>
          <w:p w14:paraId="748FBD99" w14:textId="77777777" w:rsidR="00E7028F" w:rsidRPr="00E7028F" w:rsidRDefault="00E7028F" w:rsidP="00E7028F">
            <w:pPr>
              <w:spacing w:after="0"/>
              <w:ind w:left="321"/>
              <w:jc w:val="left"/>
              <w:rPr>
                <w:szCs w:val="17"/>
              </w:rPr>
            </w:pPr>
            <w:r w:rsidRPr="00E7028F">
              <w:rPr>
                <w:szCs w:val="17"/>
              </w:rPr>
              <w:t>F13442</w:t>
            </w:r>
          </w:p>
        </w:tc>
        <w:tc>
          <w:tcPr>
            <w:tcW w:w="1422" w:type="dxa"/>
          </w:tcPr>
          <w:p w14:paraId="4969876C" w14:textId="77777777" w:rsidR="00E7028F" w:rsidRPr="00E7028F" w:rsidRDefault="00E7028F" w:rsidP="00E7028F">
            <w:pPr>
              <w:spacing w:after="0"/>
              <w:ind w:left="319"/>
              <w:jc w:val="left"/>
              <w:rPr>
                <w:szCs w:val="17"/>
              </w:rPr>
            </w:pPr>
            <w:r w:rsidRPr="00E7028F">
              <w:rPr>
                <w:szCs w:val="17"/>
              </w:rPr>
              <w:t>A437</w:t>
            </w:r>
          </w:p>
        </w:tc>
      </w:tr>
      <w:tr w:rsidR="00E7028F" w:rsidRPr="00E7028F" w14:paraId="727F48B4" w14:textId="77777777" w:rsidTr="000E227A">
        <w:tc>
          <w:tcPr>
            <w:tcW w:w="4111" w:type="dxa"/>
          </w:tcPr>
          <w:p w14:paraId="0CA849D9" w14:textId="77777777" w:rsidR="00E7028F" w:rsidRPr="00E7028F" w:rsidRDefault="00E7028F" w:rsidP="00E7028F">
            <w:pPr>
              <w:spacing w:after="0"/>
              <w:rPr>
                <w:szCs w:val="17"/>
              </w:rPr>
            </w:pPr>
            <w:r w:rsidRPr="00E7028F">
              <w:rPr>
                <w:szCs w:val="17"/>
              </w:rPr>
              <w:t>Unit 23, 13 Harris Pl, Seaton</w:t>
            </w:r>
          </w:p>
        </w:tc>
        <w:tc>
          <w:tcPr>
            <w:tcW w:w="1276" w:type="dxa"/>
          </w:tcPr>
          <w:p w14:paraId="2F25CFE4"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58A5314C" w14:textId="77777777" w:rsidR="00E7028F" w:rsidRPr="00E7028F" w:rsidRDefault="00E7028F" w:rsidP="00E7028F">
            <w:pPr>
              <w:spacing w:after="0"/>
              <w:ind w:left="426"/>
            </w:pPr>
            <w:r w:rsidRPr="00E7028F">
              <w:t>348</w:t>
            </w:r>
          </w:p>
        </w:tc>
        <w:tc>
          <w:tcPr>
            <w:tcW w:w="1417" w:type="dxa"/>
          </w:tcPr>
          <w:p w14:paraId="546117C9" w14:textId="77777777" w:rsidR="00E7028F" w:rsidRPr="00E7028F" w:rsidRDefault="00E7028F" w:rsidP="00E7028F">
            <w:pPr>
              <w:spacing w:after="0"/>
              <w:ind w:left="321"/>
              <w:jc w:val="left"/>
              <w:rPr>
                <w:szCs w:val="17"/>
              </w:rPr>
            </w:pPr>
            <w:r w:rsidRPr="00E7028F">
              <w:rPr>
                <w:szCs w:val="17"/>
              </w:rPr>
              <w:t>F13442</w:t>
            </w:r>
          </w:p>
        </w:tc>
        <w:tc>
          <w:tcPr>
            <w:tcW w:w="1422" w:type="dxa"/>
          </w:tcPr>
          <w:p w14:paraId="2BDA586E" w14:textId="77777777" w:rsidR="00E7028F" w:rsidRPr="00E7028F" w:rsidRDefault="00E7028F" w:rsidP="00E7028F">
            <w:pPr>
              <w:spacing w:after="0"/>
              <w:ind w:left="319"/>
              <w:jc w:val="left"/>
              <w:rPr>
                <w:szCs w:val="17"/>
              </w:rPr>
            </w:pPr>
            <w:r w:rsidRPr="00E7028F">
              <w:rPr>
                <w:szCs w:val="17"/>
              </w:rPr>
              <w:t>A437</w:t>
            </w:r>
          </w:p>
        </w:tc>
      </w:tr>
      <w:tr w:rsidR="00E7028F" w:rsidRPr="00E7028F" w14:paraId="4944A948" w14:textId="77777777" w:rsidTr="000E227A">
        <w:tc>
          <w:tcPr>
            <w:tcW w:w="4111" w:type="dxa"/>
          </w:tcPr>
          <w:p w14:paraId="18150BF1" w14:textId="77777777" w:rsidR="00E7028F" w:rsidRPr="00E7028F" w:rsidRDefault="00E7028F" w:rsidP="00E7028F">
            <w:pPr>
              <w:spacing w:after="0"/>
              <w:rPr>
                <w:szCs w:val="17"/>
              </w:rPr>
            </w:pPr>
            <w:r w:rsidRPr="00E7028F">
              <w:rPr>
                <w:szCs w:val="17"/>
              </w:rPr>
              <w:t>Unit 24, 13 Harris Pl, Seaton</w:t>
            </w:r>
          </w:p>
        </w:tc>
        <w:tc>
          <w:tcPr>
            <w:tcW w:w="1276" w:type="dxa"/>
          </w:tcPr>
          <w:p w14:paraId="7A77DB6A" w14:textId="77777777" w:rsidR="00E7028F" w:rsidRPr="00E7028F" w:rsidRDefault="00E7028F" w:rsidP="00E7028F">
            <w:pPr>
              <w:spacing w:after="0"/>
              <w:jc w:val="center"/>
              <w:rPr>
                <w:szCs w:val="17"/>
              </w:rPr>
            </w:pPr>
            <w:r w:rsidRPr="00E7028F">
              <w:rPr>
                <w:szCs w:val="17"/>
              </w:rPr>
              <w:t>CT5774</w:t>
            </w:r>
          </w:p>
        </w:tc>
        <w:tc>
          <w:tcPr>
            <w:tcW w:w="1134" w:type="dxa"/>
            <w:tcMar>
              <w:left w:w="0" w:type="dxa"/>
              <w:right w:w="0" w:type="dxa"/>
            </w:tcMar>
          </w:tcPr>
          <w:p w14:paraId="63295A8E" w14:textId="77777777" w:rsidR="00E7028F" w:rsidRPr="00E7028F" w:rsidRDefault="00E7028F" w:rsidP="00E7028F">
            <w:pPr>
              <w:spacing w:after="0"/>
              <w:ind w:left="426"/>
            </w:pPr>
            <w:r w:rsidRPr="00E7028F">
              <w:t>348</w:t>
            </w:r>
          </w:p>
        </w:tc>
        <w:tc>
          <w:tcPr>
            <w:tcW w:w="1417" w:type="dxa"/>
          </w:tcPr>
          <w:p w14:paraId="4483ECE7" w14:textId="77777777" w:rsidR="00E7028F" w:rsidRPr="00E7028F" w:rsidRDefault="00E7028F" w:rsidP="00E7028F">
            <w:pPr>
              <w:spacing w:after="0"/>
              <w:ind w:left="321"/>
              <w:jc w:val="left"/>
              <w:rPr>
                <w:szCs w:val="17"/>
              </w:rPr>
            </w:pPr>
            <w:r w:rsidRPr="00E7028F">
              <w:rPr>
                <w:szCs w:val="17"/>
              </w:rPr>
              <w:t>F13442</w:t>
            </w:r>
          </w:p>
        </w:tc>
        <w:tc>
          <w:tcPr>
            <w:tcW w:w="1422" w:type="dxa"/>
          </w:tcPr>
          <w:p w14:paraId="1424224D" w14:textId="77777777" w:rsidR="00E7028F" w:rsidRPr="00E7028F" w:rsidRDefault="00E7028F" w:rsidP="00E7028F">
            <w:pPr>
              <w:spacing w:after="0"/>
              <w:ind w:left="319"/>
              <w:jc w:val="left"/>
              <w:rPr>
                <w:szCs w:val="17"/>
              </w:rPr>
            </w:pPr>
            <w:r w:rsidRPr="00E7028F">
              <w:rPr>
                <w:szCs w:val="17"/>
              </w:rPr>
              <w:t>A437</w:t>
            </w:r>
          </w:p>
        </w:tc>
      </w:tr>
      <w:tr w:rsidR="00E7028F" w:rsidRPr="00E7028F" w14:paraId="4E9CE73C" w14:textId="77777777" w:rsidTr="000E227A">
        <w:tc>
          <w:tcPr>
            <w:tcW w:w="4111" w:type="dxa"/>
          </w:tcPr>
          <w:p w14:paraId="6A1F09AB" w14:textId="77777777" w:rsidR="00E7028F" w:rsidRPr="00E7028F" w:rsidRDefault="00E7028F" w:rsidP="00E7028F">
            <w:pPr>
              <w:spacing w:after="0"/>
              <w:rPr>
                <w:szCs w:val="17"/>
              </w:rPr>
            </w:pPr>
            <w:r w:rsidRPr="00E7028F">
              <w:rPr>
                <w:szCs w:val="17"/>
              </w:rPr>
              <w:t>Unit 2, 5 Lark Ave, Seaton</w:t>
            </w:r>
          </w:p>
        </w:tc>
        <w:tc>
          <w:tcPr>
            <w:tcW w:w="1276" w:type="dxa"/>
          </w:tcPr>
          <w:p w14:paraId="43C2CF25" w14:textId="77777777" w:rsidR="00E7028F" w:rsidRPr="00E7028F" w:rsidRDefault="00E7028F" w:rsidP="00E7028F">
            <w:pPr>
              <w:spacing w:after="0"/>
              <w:jc w:val="center"/>
              <w:rPr>
                <w:szCs w:val="17"/>
              </w:rPr>
            </w:pPr>
            <w:r w:rsidRPr="00E7028F">
              <w:rPr>
                <w:szCs w:val="17"/>
              </w:rPr>
              <w:t>CT6039</w:t>
            </w:r>
          </w:p>
        </w:tc>
        <w:tc>
          <w:tcPr>
            <w:tcW w:w="1134" w:type="dxa"/>
            <w:tcMar>
              <w:left w:w="0" w:type="dxa"/>
              <w:right w:w="0" w:type="dxa"/>
            </w:tcMar>
          </w:tcPr>
          <w:p w14:paraId="2391991B" w14:textId="77777777" w:rsidR="00E7028F" w:rsidRPr="00E7028F" w:rsidRDefault="00E7028F" w:rsidP="00E7028F">
            <w:pPr>
              <w:spacing w:after="0"/>
              <w:ind w:left="426"/>
            </w:pPr>
            <w:r w:rsidRPr="00E7028F">
              <w:t>383</w:t>
            </w:r>
          </w:p>
        </w:tc>
        <w:tc>
          <w:tcPr>
            <w:tcW w:w="1417" w:type="dxa"/>
          </w:tcPr>
          <w:p w14:paraId="23AB7268" w14:textId="77777777" w:rsidR="00E7028F" w:rsidRPr="00E7028F" w:rsidRDefault="00E7028F" w:rsidP="00E7028F">
            <w:pPr>
              <w:spacing w:after="0"/>
              <w:ind w:left="321"/>
              <w:jc w:val="left"/>
              <w:rPr>
                <w:szCs w:val="17"/>
              </w:rPr>
            </w:pPr>
            <w:r w:rsidRPr="00E7028F">
              <w:rPr>
                <w:szCs w:val="17"/>
              </w:rPr>
              <w:t>D4581</w:t>
            </w:r>
          </w:p>
        </w:tc>
        <w:tc>
          <w:tcPr>
            <w:tcW w:w="1422" w:type="dxa"/>
          </w:tcPr>
          <w:p w14:paraId="0350D235" w14:textId="77777777" w:rsidR="00E7028F" w:rsidRPr="00E7028F" w:rsidRDefault="00E7028F" w:rsidP="00E7028F">
            <w:pPr>
              <w:spacing w:after="0"/>
              <w:ind w:left="319"/>
              <w:jc w:val="left"/>
              <w:rPr>
                <w:szCs w:val="17"/>
              </w:rPr>
            </w:pPr>
            <w:r w:rsidRPr="00E7028F">
              <w:rPr>
                <w:szCs w:val="17"/>
              </w:rPr>
              <w:t>A242</w:t>
            </w:r>
          </w:p>
        </w:tc>
      </w:tr>
      <w:tr w:rsidR="00E7028F" w:rsidRPr="00E7028F" w14:paraId="450C7F58" w14:textId="77777777" w:rsidTr="000E227A">
        <w:tc>
          <w:tcPr>
            <w:tcW w:w="4111" w:type="dxa"/>
          </w:tcPr>
          <w:p w14:paraId="745FDA8A" w14:textId="77777777" w:rsidR="00E7028F" w:rsidRPr="00E7028F" w:rsidRDefault="00E7028F" w:rsidP="00E7028F">
            <w:pPr>
              <w:spacing w:after="0"/>
              <w:rPr>
                <w:szCs w:val="17"/>
              </w:rPr>
            </w:pPr>
            <w:r w:rsidRPr="00E7028F">
              <w:rPr>
                <w:szCs w:val="17"/>
              </w:rPr>
              <w:t>Unit 1, 5 Lark Ave, Seaton</w:t>
            </w:r>
          </w:p>
        </w:tc>
        <w:tc>
          <w:tcPr>
            <w:tcW w:w="1276" w:type="dxa"/>
          </w:tcPr>
          <w:p w14:paraId="1C4FC6A3" w14:textId="77777777" w:rsidR="00E7028F" w:rsidRPr="00E7028F" w:rsidRDefault="00E7028F" w:rsidP="00E7028F">
            <w:pPr>
              <w:spacing w:after="0"/>
              <w:jc w:val="center"/>
              <w:rPr>
                <w:szCs w:val="17"/>
              </w:rPr>
            </w:pPr>
            <w:r w:rsidRPr="00E7028F">
              <w:rPr>
                <w:szCs w:val="17"/>
              </w:rPr>
              <w:t>CT6039</w:t>
            </w:r>
          </w:p>
        </w:tc>
        <w:tc>
          <w:tcPr>
            <w:tcW w:w="1134" w:type="dxa"/>
            <w:tcMar>
              <w:left w:w="0" w:type="dxa"/>
              <w:right w:w="0" w:type="dxa"/>
            </w:tcMar>
          </w:tcPr>
          <w:p w14:paraId="3B842146" w14:textId="77777777" w:rsidR="00E7028F" w:rsidRPr="00E7028F" w:rsidRDefault="00E7028F" w:rsidP="00E7028F">
            <w:pPr>
              <w:spacing w:after="0"/>
              <w:ind w:left="426"/>
            </w:pPr>
            <w:r w:rsidRPr="00E7028F">
              <w:t>383</w:t>
            </w:r>
          </w:p>
        </w:tc>
        <w:tc>
          <w:tcPr>
            <w:tcW w:w="1417" w:type="dxa"/>
          </w:tcPr>
          <w:p w14:paraId="56FD4DE6" w14:textId="77777777" w:rsidR="00E7028F" w:rsidRPr="00E7028F" w:rsidRDefault="00E7028F" w:rsidP="00E7028F">
            <w:pPr>
              <w:spacing w:after="0"/>
              <w:ind w:left="321"/>
              <w:jc w:val="left"/>
              <w:rPr>
                <w:szCs w:val="17"/>
              </w:rPr>
            </w:pPr>
            <w:r w:rsidRPr="00E7028F">
              <w:rPr>
                <w:szCs w:val="17"/>
              </w:rPr>
              <w:t>D4581</w:t>
            </w:r>
          </w:p>
        </w:tc>
        <w:tc>
          <w:tcPr>
            <w:tcW w:w="1422" w:type="dxa"/>
          </w:tcPr>
          <w:p w14:paraId="4EA257BB" w14:textId="77777777" w:rsidR="00E7028F" w:rsidRPr="00E7028F" w:rsidRDefault="00E7028F" w:rsidP="00E7028F">
            <w:pPr>
              <w:spacing w:after="0"/>
              <w:ind w:left="319"/>
              <w:jc w:val="left"/>
              <w:rPr>
                <w:szCs w:val="17"/>
              </w:rPr>
            </w:pPr>
            <w:r w:rsidRPr="00E7028F">
              <w:rPr>
                <w:szCs w:val="17"/>
              </w:rPr>
              <w:t>A242</w:t>
            </w:r>
          </w:p>
        </w:tc>
      </w:tr>
      <w:tr w:rsidR="00E7028F" w:rsidRPr="00E7028F" w14:paraId="760E274C" w14:textId="77777777" w:rsidTr="000E227A">
        <w:tc>
          <w:tcPr>
            <w:tcW w:w="4111" w:type="dxa"/>
          </w:tcPr>
          <w:p w14:paraId="0B7E27B7" w14:textId="77777777" w:rsidR="00E7028F" w:rsidRPr="00E7028F" w:rsidRDefault="00E7028F" w:rsidP="00E7028F">
            <w:pPr>
              <w:spacing w:after="0"/>
              <w:rPr>
                <w:szCs w:val="17"/>
              </w:rPr>
            </w:pPr>
            <w:r w:rsidRPr="00E7028F">
              <w:rPr>
                <w:szCs w:val="17"/>
              </w:rPr>
              <w:t>Unit 4, 5 Lark Ave, Seaton</w:t>
            </w:r>
          </w:p>
        </w:tc>
        <w:tc>
          <w:tcPr>
            <w:tcW w:w="1276" w:type="dxa"/>
          </w:tcPr>
          <w:p w14:paraId="01C65BAB" w14:textId="77777777" w:rsidR="00E7028F" w:rsidRPr="00E7028F" w:rsidRDefault="00E7028F" w:rsidP="00E7028F">
            <w:pPr>
              <w:spacing w:after="0"/>
              <w:jc w:val="center"/>
              <w:rPr>
                <w:szCs w:val="17"/>
              </w:rPr>
            </w:pPr>
            <w:r w:rsidRPr="00E7028F">
              <w:rPr>
                <w:szCs w:val="17"/>
              </w:rPr>
              <w:t>CT6039</w:t>
            </w:r>
          </w:p>
        </w:tc>
        <w:tc>
          <w:tcPr>
            <w:tcW w:w="1134" w:type="dxa"/>
            <w:tcMar>
              <w:left w:w="0" w:type="dxa"/>
              <w:right w:w="0" w:type="dxa"/>
            </w:tcMar>
          </w:tcPr>
          <w:p w14:paraId="31B76DD6" w14:textId="77777777" w:rsidR="00E7028F" w:rsidRPr="00E7028F" w:rsidRDefault="00E7028F" w:rsidP="00E7028F">
            <w:pPr>
              <w:spacing w:after="0"/>
              <w:ind w:left="426"/>
            </w:pPr>
            <w:r w:rsidRPr="00E7028F">
              <w:t>383</w:t>
            </w:r>
          </w:p>
        </w:tc>
        <w:tc>
          <w:tcPr>
            <w:tcW w:w="1417" w:type="dxa"/>
          </w:tcPr>
          <w:p w14:paraId="64FD85DB" w14:textId="77777777" w:rsidR="00E7028F" w:rsidRPr="00E7028F" w:rsidRDefault="00E7028F" w:rsidP="00E7028F">
            <w:pPr>
              <w:spacing w:after="0"/>
              <w:ind w:left="321"/>
              <w:jc w:val="left"/>
              <w:rPr>
                <w:szCs w:val="17"/>
              </w:rPr>
            </w:pPr>
            <w:r w:rsidRPr="00E7028F">
              <w:rPr>
                <w:szCs w:val="17"/>
              </w:rPr>
              <w:t>D4581</w:t>
            </w:r>
          </w:p>
        </w:tc>
        <w:tc>
          <w:tcPr>
            <w:tcW w:w="1422" w:type="dxa"/>
          </w:tcPr>
          <w:p w14:paraId="6D050E9A" w14:textId="77777777" w:rsidR="00E7028F" w:rsidRPr="00E7028F" w:rsidRDefault="00E7028F" w:rsidP="00E7028F">
            <w:pPr>
              <w:spacing w:after="0"/>
              <w:ind w:left="319"/>
              <w:jc w:val="left"/>
              <w:rPr>
                <w:szCs w:val="17"/>
              </w:rPr>
            </w:pPr>
            <w:r w:rsidRPr="00E7028F">
              <w:rPr>
                <w:szCs w:val="17"/>
              </w:rPr>
              <w:t>A241</w:t>
            </w:r>
          </w:p>
        </w:tc>
      </w:tr>
      <w:tr w:rsidR="00E7028F" w:rsidRPr="00E7028F" w14:paraId="6D249A5C" w14:textId="77777777" w:rsidTr="000E227A">
        <w:tc>
          <w:tcPr>
            <w:tcW w:w="4111" w:type="dxa"/>
            <w:tcBorders>
              <w:bottom w:val="single" w:sz="4" w:space="0" w:color="auto"/>
            </w:tcBorders>
          </w:tcPr>
          <w:p w14:paraId="18068A78" w14:textId="77777777" w:rsidR="00E7028F" w:rsidRPr="00E7028F" w:rsidRDefault="00E7028F" w:rsidP="00836CCB">
            <w:pPr>
              <w:spacing w:after="60"/>
              <w:rPr>
                <w:szCs w:val="17"/>
              </w:rPr>
            </w:pPr>
            <w:r w:rsidRPr="00E7028F">
              <w:rPr>
                <w:szCs w:val="17"/>
              </w:rPr>
              <w:t>Unit 3, 5 Lark Ave, Seaton</w:t>
            </w:r>
          </w:p>
        </w:tc>
        <w:tc>
          <w:tcPr>
            <w:tcW w:w="1276" w:type="dxa"/>
            <w:tcBorders>
              <w:bottom w:val="single" w:sz="4" w:space="0" w:color="auto"/>
            </w:tcBorders>
          </w:tcPr>
          <w:p w14:paraId="4DFADACF" w14:textId="77777777" w:rsidR="00E7028F" w:rsidRPr="00E7028F" w:rsidRDefault="00E7028F" w:rsidP="00836CCB">
            <w:pPr>
              <w:spacing w:after="60"/>
              <w:jc w:val="center"/>
              <w:rPr>
                <w:szCs w:val="17"/>
              </w:rPr>
            </w:pPr>
            <w:r w:rsidRPr="00E7028F">
              <w:rPr>
                <w:szCs w:val="17"/>
              </w:rPr>
              <w:t>CT6039</w:t>
            </w:r>
          </w:p>
        </w:tc>
        <w:tc>
          <w:tcPr>
            <w:tcW w:w="1134" w:type="dxa"/>
            <w:tcBorders>
              <w:bottom w:val="single" w:sz="4" w:space="0" w:color="auto"/>
            </w:tcBorders>
            <w:tcMar>
              <w:left w:w="0" w:type="dxa"/>
              <w:right w:w="0" w:type="dxa"/>
            </w:tcMar>
          </w:tcPr>
          <w:p w14:paraId="2BA92066" w14:textId="77777777" w:rsidR="00E7028F" w:rsidRPr="00E7028F" w:rsidRDefault="00E7028F" w:rsidP="00836CCB">
            <w:pPr>
              <w:spacing w:after="60"/>
              <w:ind w:left="426"/>
            </w:pPr>
            <w:r w:rsidRPr="00E7028F">
              <w:t>383</w:t>
            </w:r>
          </w:p>
        </w:tc>
        <w:tc>
          <w:tcPr>
            <w:tcW w:w="1417" w:type="dxa"/>
            <w:tcBorders>
              <w:bottom w:val="single" w:sz="4" w:space="0" w:color="auto"/>
            </w:tcBorders>
          </w:tcPr>
          <w:p w14:paraId="124CC3CC" w14:textId="77777777" w:rsidR="00E7028F" w:rsidRPr="00E7028F" w:rsidRDefault="00E7028F" w:rsidP="00836CCB">
            <w:pPr>
              <w:spacing w:after="60"/>
              <w:ind w:left="321"/>
              <w:jc w:val="left"/>
              <w:rPr>
                <w:szCs w:val="17"/>
              </w:rPr>
            </w:pPr>
            <w:r w:rsidRPr="00E7028F">
              <w:rPr>
                <w:szCs w:val="17"/>
              </w:rPr>
              <w:t>D4581</w:t>
            </w:r>
          </w:p>
        </w:tc>
        <w:tc>
          <w:tcPr>
            <w:tcW w:w="1422" w:type="dxa"/>
            <w:tcBorders>
              <w:bottom w:val="single" w:sz="4" w:space="0" w:color="auto"/>
            </w:tcBorders>
          </w:tcPr>
          <w:p w14:paraId="26001B50" w14:textId="77777777" w:rsidR="00E7028F" w:rsidRPr="00E7028F" w:rsidRDefault="00E7028F" w:rsidP="00836CCB">
            <w:pPr>
              <w:spacing w:after="60"/>
              <w:ind w:left="319"/>
              <w:jc w:val="left"/>
              <w:rPr>
                <w:szCs w:val="17"/>
              </w:rPr>
            </w:pPr>
            <w:r w:rsidRPr="00E7028F">
              <w:rPr>
                <w:szCs w:val="17"/>
              </w:rPr>
              <w:t>A241</w:t>
            </w:r>
          </w:p>
        </w:tc>
      </w:tr>
    </w:tbl>
    <w:p w14:paraId="3042B482" w14:textId="77777777" w:rsidR="00E7028F" w:rsidRPr="00E7028F" w:rsidRDefault="00E7028F" w:rsidP="00836CCB">
      <w:pPr>
        <w:spacing w:before="60" w:after="0"/>
        <w:rPr>
          <w:rFonts w:eastAsia="Times New Roman"/>
          <w:szCs w:val="17"/>
        </w:rPr>
      </w:pPr>
      <w:r w:rsidRPr="00E7028F">
        <w:rPr>
          <w:rFonts w:eastAsia="Times New Roman"/>
          <w:szCs w:val="17"/>
        </w:rPr>
        <w:t>Dated: 18 February 2025</w:t>
      </w:r>
    </w:p>
    <w:p w14:paraId="0A13A716" w14:textId="77777777" w:rsidR="00E7028F" w:rsidRPr="00E7028F" w:rsidRDefault="00E7028F" w:rsidP="00E7028F">
      <w:pPr>
        <w:spacing w:after="0"/>
        <w:jc w:val="right"/>
        <w:rPr>
          <w:rFonts w:eastAsia="Times New Roman"/>
          <w:smallCaps/>
          <w:szCs w:val="20"/>
        </w:rPr>
      </w:pPr>
      <w:r w:rsidRPr="00E7028F">
        <w:rPr>
          <w:rFonts w:eastAsia="Times New Roman"/>
          <w:smallCaps/>
          <w:szCs w:val="20"/>
        </w:rPr>
        <w:t>Hon Nick Champion MP</w:t>
      </w:r>
    </w:p>
    <w:p w14:paraId="2EFDB1E3" w14:textId="77777777" w:rsidR="00E7028F" w:rsidRDefault="00E7028F" w:rsidP="00E7028F">
      <w:pPr>
        <w:spacing w:after="0"/>
        <w:jc w:val="right"/>
        <w:rPr>
          <w:rFonts w:eastAsia="Times New Roman"/>
          <w:szCs w:val="17"/>
          <w:lang w:val="en-US"/>
        </w:rPr>
      </w:pPr>
      <w:r w:rsidRPr="00E7028F">
        <w:rPr>
          <w:rFonts w:eastAsia="Times New Roman"/>
          <w:szCs w:val="17"/>
          <w:lang w:val="en-US"/>
        </w:rPr>
        <w:t>Minister for Housing and Urban Development</w:t>
      </w:r>
    </w:p>
    <w:p w14:paraId="1F6958B5" w14:textId="77777777" w:rsidR="00E7028F" w:rsidRDefault="00E7028F" w:rsidP="00E7028F">
      <w:pPr>
        <w:pBdr>
          <w:bottom w:val="single" w:sz="4" w:space="1" w:color="auto"/>
        </w:pBdr>
        <w:spacing w:after="0" w:line="52" w:lineRule="exact"/>
        <w:jc w:val="center"/>
        <w:rPr>
          <w:rFonts w:eastAsia="Times New Roman"/>
          <w:szCs w:val="17"/>
          <w:lang w:val="en-US"/>
        </w:rPr>
      </w:pPr>
    </w:p>
    <w:p w14:paraId="7E72AFB7" w14:textId="77777777" w:rsidR="00E7028F" w:rsidRDefault="00E7028F" w:rsidP="00E7028F">
      <w:pPr>
        <w:pBdr>
          <w:top w:val="single" w:sz="4" w:space="1" w:color="auto"/>
        </w:pBdr>
        <w:spacing w:before="34" w:after="0" w:line="14" w:lineRule="exact"/>
        <w:jc w:val="center"/>
        <w:rPr>
          <w:rFonts w:eastAsia="Times New Roman"/>
          <w:szCs w:val="17"/>
          <w:lang w:val="en-US"/>
        </w:rPr>
      </w:pPr>
    </w:p>
    <w:p w14:paraId="7DFCE43B" w14:textId="77777777" w:rsidR="00E7028F" w:rsidRPr="00E7028F" w:rsidRDefault="00E7028F" w:rsidP="00E7028F">
      <w:pPr>
        <w:pStyle w:val="NoSpacing"/>
        <w:rPr>
          <w:lang w:val="en-US"/>
        </w:rPr>
      </w:pPr>
    </w:p>
    <w:p w14:paraId="6D6A022A" w14:textId="1C8F2A8A" w:rsidR="00E7028F" w:rsidRPr="00E7028F" w:rsidRDefault="007004B5" w:rsidP="007004B5">
      <w:pPr>
        <w:pStyle w:val="Heading2"/>
      </w:pPr>
      <w:bookmarkStart w:id="67" w:name="_Toc191542991"/>
      <w:r w:rsidRPr="00E7028F">
        <w:t>Urban Renewal Act 1995</w:t>
      </w:r>
      <w:bookmarkEnd w:id="67"/>
    </w:p>
    <w:p w14:paraId="16E1E3E5" w14:textId="77777777" w:rsidR="00E7028F" w:rsidRPr="00E7028F" w:rsidRDefault="00E7028F" w:rsidP="00D04E5B">
      <w:pPr>
        <w:spacing w:after="60"/>
        <w:jc w:val="center"/>
        <w:rPr>
          <w:i/>
          <w:szCs w:val="17"/>
        </w:rPr>
      </w:pPr>
      <w:r w:rsidRPr="00E7028F">
        <w:rPr>
          <w:i/>
          <w:szCs w:val="17"/>
        </w:rPr>
        <w:t>Transfer of Assets of the Urban Renewal Authority</w:t>
      </w:r>
    </w:p>
    <w:p w14:paraId="72F08B8D" w14:textId="116280E0" w:rsidR="00E7028F" w:rsidRPr="00E7028F" w:rsidRDefault="00E7028F" w:rsidP="00D04E5B">
      <w:pPr>
        <w:spacing w:after="60"/>
      </w:pPr>
      <w:r w:rsidRPr="00E7028F">
        <w:rPr>
          <w:spacing w:val="-2"/>
        </w:rPr>
        <w:t xml:space="preserve">Pursuant to the provisions of Section 23(1)(b)(iii) of the </w:t>
      </w:r>
      <w:r w:rsidRPr="00E7028F">
        <w:rPr>
          <w:i/>
          <w:iCs/>
          <w:spacing w:val="-2"/>
        </w:rPr>
        <w:t>Urban Renewal Act 1995</w:t>
      </w:r>
      <w:r w:rsidRPr="00E7028F">
        <w:rPr>
          <w:spacing w:val="-2"/>
        </w:rPr>
        <w:t xml:space="preserve">, I, Nick Champion, Minister for Housing and Urban Development, with the concurrence of Stephen </w:t>
      </w:r>
      <w:proofErr w:type="spellStart"/>
      <w:r w:rsidRPr="00E7028F">
        <w:rPr>
          <w:spacing w:val="-2"/>
        </w:rPr>
        <w:t>Mullighan</w:t>
      </w:r>
      <w:proofErr w:type="spellEnd"/>
      <w:r w:rsidRPr="00E7028F">
        <w:rPr>
          <w:spacing w:val="-2"/>
        </w:rPr>
        <w:t>, Treasurer, gives notice of the transfer of the properties, with Certificate of Title and Allotment References listed in Schedule 1, from the Urban Renewal Authority to the South Australian Housing Trust on 20 February 2025</w:t>
      </w:r>
      <w:r w:rsidRPr="00E7028F">
        <w:t>.</w:t>
      </w:r>
    </w:p>
    <w:p w14:paraId="11268561" w14:textId="77777777" w:rsidR="00E7028F" w:rsidRPr="00E7028F" w:rsidRDefault="00E7028F" w:rsidP="00E7028F">
      <w:pPr>
        <w:jc w:val="center"/>
        <w:rPr>
          <w:smallCaps/>
          <w:szCs w:val="17"/>
        </w:rPr>
      </w:pPr>
      <w:r w:rsidRPr="00E7028F">
        <w:rPr>
          <w:smallCaps/>
          <w:szCs w:val="17"/>
        </w:rPr>
        <w:t>Schedule 1</w:t>
      </w:r>
    </w:p>
    <w:tbl>
      <w:tblPr>
        <w:tblStyle w:val="TableGrid"/>
        <w:tblW w:w="5000" w:type="pct"/>
        <w:jc w:val="center"/>
        <w:tblLook w:val="04A0" w:firstRow="1" w:lastRow="0" w:firstColumn="1" w:lastColumn="0" w:noHBand="0" w:noVBand="1"/>
      </w:tblPr>
      <w:tblGrid>
        <w:gridCol w:w="3310"/>
        <w:gridCol w:w="1356"/>
        <w:gridCol w:w="1354"/>
        <w:gridCol w:w="1824"/>
        <w:gridCol w:w="1510"/>
      </w:tblGrid>
      <w:tr w:rsidR="00E7028F" w:rsidRPr="00E7028F" w14:paraId="55520EE2" w14:textId="77777777" w:rsidTr="000E227A">
        <w:trPr>
          <w:jc w:val="center"/>
        </w:trPr>
        <w:tc>
          <w:tcPr>
            <w:tcW w:w="1769" w:type="pct"/>
            <w:vMerge w:val="restart"/>
            <w:tcBorders>
              <w:top w:val="single" w:sz="4" w:space="0" w:color="auto"/>
              <w:left w:val="nil"/>
              <w:right w:val="nil"/>
            </w:tcBorders>
            <w:tcMar>
              <w:top w:w="0" w:type="dxa"/>
              <w:left w:w="108" w:type="dxa"/>
              <w:bottom w:w="0" w:type="dxa"/>
              <w:right w:w="108" w:type="dxa"/>
            </w:tcMar>
            <w:vAlign w:val="center"/>
          </w:tcPr>
          <w:p w14:paraId="0DD7961C" w14:textId="77777777" w:rsidR="00E7028F" w:rsidRPr="00E7028F" w:rsidRDefault="00E7028F" w:rsidP="00E7028F">
            <w:pPr>
              <w:spacing w:after="20"/>
              <w:jc w:val="center"/>
              <w:rPr>
                <w:b/>
              </w:rPr>
            </w:pPr>
            <w:r w:rsidRPr="00E7028F">
              <w:rPr>
                <w:b/>
              </w:rPr>
              <w:t>Address</w:t>
            </w:r>
          </w:p>
        </w:tc>
        <w:tc>
          <w:tcPr>
            <w:tcW w:w="1449" w:type="pct"/>
            <w:gridSpan w:val="2"/>
            <w:tcBorders>
              <w:top w:val="single" w:sz="4" w:space="0" w:color="auto"/>
              <w:left w:val="nil"/>
              <w:bottom w:val="nil"/>
              <w:right w:val="nil"/>
            </w:tcBorders>
            <w:tcMar>
              <w:top w:w="0" w:type="dxa"/>
              <w:left w:w="108" w:type="dxa"/>
              <w:bottom w:w="0" w:type="dxa"/>
              <w:right w:w="108" w:type="dxa"/>
            </w:tcMar>
            <w:vAlign w:val="center"/>
          </w:tcPr>
          <w:p w14:paraId="22A668AC" w14:textId="77777777" w:rsidR="00E7028F" w:rsidRPr="00E7028F" w:rsidRDefault="00E7028F" w:rsidP="00E7028F">
            <w:pPr>
              <w:spacing w:before="40" w:after="40"/>
              <w:jc w:val="center"/>
              <w:rPr>
                <w:b/>
              </w:rPr>
            </w:pPr>
            <w:r w:rsidRPr="00E7028F">
              <w:rPr>
                <w:b/>
              </w:rPr>
              <w:t>Certificate of Title</w:t>
            </w:r>
          </w:p>
        </w:tc>
        <w:tc>
          <w:tcPr>
            <w:tcW w:w="1782" w:type="pct"/>
            <w:gridSpan w:val="2"/>
            <w:tcBorders>
              <w:top w:val="single" w:sz="4" w:space="0" w:color="auto"/>
              <w:left w:val="nil"/>
              <w:bottom w:val="nil"/>
              <w:right w:val="nil"/>
            </w:tcBorders>
            <w:tcMar>
              <w:top w:w="0" w:type="dxa"/>
              <w:left w:w="108" w:type="dxa"/>
              <w:bottom w:w="0" w:type="dxa"/>
              <w:right w:w="108" w:type="dxa"/>
            </w:tcMar>
            <w:vAlign w:val="center"/>
          </w:tcPr>
          <w:p w14:paraId="650A404F" w14:textId="77777777" w:rsidR="00E7028F" w:rsidRPr="00E7028F" w:rsidRDefault="00E7028F" w:rsidP="00E7028F">
            <w:pPr>
              <w:spacing w:before="40" w:after="40"/>
              <w:jc w:val="center"/>
              <w:rPr>
                <w:b/>
              </w:rPr>
            </w:pPr>
            <w:r w:rsidRPr="00E7028F">
              <w:rPr>
                <w:b/>
              </w:rPr>
              <w:t>Certificate of Title Description</w:t>
            </w:r>
          </w:p>
        </w:tc>
      </w:tr>
      <w:tr w:rsidR="00E7028F" w:rsidRPr="00E7028F" w14:paraId="2A12EE0B" w14:textId="77777777" w:rsidTr="000E227A">
        <w:trPr>
          <w:trHeight w:val="171"/>
          <w:jc w:val="center"/>
        </w:trPr>
        <w:tc>
          <w:tcPr>
            <w:tcW w:w="1769" w:type="pct"/>
            <w:vMerge/>
            <w:tcBorders>
              <w:left w:val="nil"/>
              <w:bottom w:val="single" w:sz="4" w:space="0" w:color="auto"/>
              <w:right w:val="nil"/>
            </w:tcBorders>
            <w:tcMar>
              <w:top w:w="0" w:type="dxa"/>
              <w:left w:w="108" w:type="dxa"/>
              <w:bottom w:w="0" w:type="dxa"/>
              <w:right w:w="108" w:type="dxa"/>
            </w:tcMar>
            <w:vAlign w:val="center"/>
          </w:tcPr>
          <w:p w14:paraId="4811DB6D" w14:textId="77777777" w:rsidR="00E7028F" w:rsidRPr="00E7028F" w:rsidRDefault="00E7028F" w:rsidP="00E7028F">
            <w:pPr>
              <w:spacing w:after="0"/>
              <w:rPr>
                <w:b/>
              </w:rPr>
            </w:pPr>
          </w:p>
        </w:tc>
        <w:tc>
          <w:tcPr>
            <w:tcW w:w="725" w:type="pct"/>
            <w:tcBorders>
              <w:top w:val="nil"/>
              <w:left w:val="nil"/>
              <w:bottom w:val="single" w:sz="4" w:space="0" w:color="auto"/>
              <w:right w:val="nil"/>
            </w:tcBorders>
            <w:tcMar>
              <w:top w:w="0" w:type="dxa"/>
              <w:left w:w="108" w:type="dxa"/>
              <w:bottom w:w="0" w:type="dxa"/>
              <w:right w:w="108" w:type="dxa"/>
            </w:tcMar>
            <w:vAlign w:val="center"/>
          </w:tcPr>
          <w:p w14:paraId="701BD0F1" w14:textId="77777777" w:rsidR="00E7028F" w:rsidRPr="00E7028F" w:rsidRDefault="00E7028F" w:rsidP="00836CCB">
            <w:pPr>
              <w:spacing w:after="40"/>
              <w:jc w:val="center"/>
              <w:rPr>
                <w:b/>
              </w:rPr>
            </w:pPr>
            <w:r w:rsidRPr="00E7028F">
              <w:rPr>
                <w:b/>
              </w:rPr>
              <w:t>Volume</w:t>
            </w:r>
          </w:p>
        </w:tc>
        <w:tc>
          <w:tcPr>
            <w:tcW w:w="724" w:type="pct"/>
            <w:tcBorders>
              <w:top w:val="nil"/>
              <w:left w:val="nil"/>
              <w:bottom w:val="single" w:sz="4" w:space="0" w:color="auto"/>
              <w:right w:val="nil"/>
            </w:tcBorders>
            <w:tcMar>
              <w:top w:w="0" w:type="dxa"/>
              <w:left w:w="108" w:type="dxa"/>
              <w:bottom w:w="0" w:type="dxa"/>
              <w:right w:w="108" w:type="dxa"/>
            </w:tcMar>
            <w:vAlign w:val="center"/>
          </w:tcPr>
          <w:p w14:paraId="762BA06A" w14:textId="77777777" w:rsidR="00E7028F" w:rsidRPr="00E7028F" w:rsidRDefault="00E7028F" w:rsidP="00836CCB">
            <w:pPr>
              <w:spacing w:after="40"/>
              <w:jc w:val="center"/>
              <w:rPr>
                <w:b/>
              </w:rPr>
            </w:pPr>
            <w:r w:rsidRPr="00E7028F">
              <w:rPr>
                <w:b/>
              </w:rPr>
              <w:t>Folio</w:t>
            </w:r>
          </w:p>
        </w:tc>
        <w:tc>
          <w:tcPr>
            <w:tcW w:w="975" w:type="pct"/>
            <w:tcBorders>
              <w:top w:val="nil"/>
              <w:left w:val="nil"/>
              <w:bottom w:val="single" w:sz="4" w:space="0" w:color="auto"/>
              <w:right w:val="nil"/>
            </w:tcBorders>
            <w:tcMar>
              <w:top w:w="0" w:type="dxa"/>
              <w:left w:w="108" w:type="dxa"/>
              <w:bottom w:w="0" w:type="dxa"/>
              <w:right w:w="108" w:type="dxa"/>
            </w:tcMar>
            <w:vAlign w:val="center"/>
          </w:tcPr>
          <w:p w14:paraId="02B5EDE2" w14:textId="77777777" w:rsidR="00E7028F" w:rsidRPr="00E7028F" w:rsidRDefault="00E7028F" w:rsidP="00836CCB">
            <w:pPr>
              <w:spacing w:after="40"/>
              <w:jc w:val="center"/>
              <w:rPr>
                <w:b/>
              </w:rPr>
            </w:pPr>
            <w:r w:rsidRPr="00E7028F">
              <w:rPr>
                <w:b/>
              </w:rPr>
              <w:t>Plan</w:t>
            </w:r>
          </w:p>
        </w:tc>
        <w:tc>
          <w:tcPr>
            <w:tcW w:w="807" w:type="pct"/>
            <w:tcBorders>
              <w:top w:val="nil"/>
              <w:left w:val="nil"/>
              <w:bottom w:val="single" w:sz="4" w:space="0" w:color="auto"/>
              <w:right w:val="nil"/>
            </w:tcBorders>
            <w:tcMar>
              <w:top w:w="0" w:type="dxa"/>
              <w:left w:w="108" w:type="dxa"/>
              <w:bottom w:w="0" w:type="dxa"/>
              <w:right w:w="108" w:type="dxa"/>
            </w:tcMar>
            <w:vAlign w:val="center"/>
          </w:tcPr>
          <w:p w14:paraId="1873B5D2" w14:textId="77777777" w:rsidR="00E7028F" w:rsidRPr="00E7028F" w:rsidRDefault="00E7028F" w:rsidP="00836CCB">
            <w:pPr>
              <w:spacing w:after="40"/>
              <w:jc w:val="center"/>
              <w:rPr>
                <w:b/>
              </w:rPr>
            </w:pPr>
            <w:r w:rsidRPr="00E7028F">
              <w:rPr>
                <w:b/>
              </w:rPr>
              <w:t>Parcel</w:t>
            </w:r>
          </w:p>
        </w:tc>
      </w:tr>
      <w:tr w:rsidR="00E7028F" w:rsidRPr="00E7028F" w14:paraId="58E2664A" w14:textId="77777777" w:rsidTr="000E227A">
        <w:trPr>
          <w:jc w:val="center"/>
        </w:trPr>
        <w:tc>
          <w:tcPr>
            <w:tcW w:w="1769" w:type="pct"/>
            <w:tcBorders>
              <w:top w:val="single" w:sz="4" w:space="0" w:color="auto"/>
              <w:left w:val="nil"/>
              <w:bottom w:val="nil"/>
              <w:right w:val="nil"/>
            </w:tcBorders>
            <w:tcMar>
              <w:top w:w="0" w:type="dxa"/>
              <w:left w:w="108" w:type="dxa"/>
              <w:bottom w:w="0" w:type="dxa"/>
              <w:right w:w="108" w:type="dxa"/>
            </w:tcMar>
            <w:vAlign w:val="center"/>
          </w:tcPr>
          <w:p w14:paraId="3342E1AE" w14:textId="77777777" w:rsidR="00E7028F" w:rsidRPr="00E7028F" w:rsidRDefault="00E7028F" w:rsidP="00E7028F">
            <w:pPr>
              <w:spacing w:before="40" w:after="0"/>
            </w:pPr>
            <w:r w:rsidRPr="00E7028F">
              <w:t>64A Glenburnie Street, Seaton</w:t>
            </w:r>
          </w:p>
        </w:tc>
        <w:tc>
          <w:tcPr>
            <w:tcW w:w="725" w:type="pct"/>
            <w:tcBorders>
              <w:top w:val="single" w:sz="4" w:space="0" w:color="auto"/>
              <w:left w:val="nil"/>
              <w:bottom w:val="nil"/>
              <w:right w:val="nil"/>
            </w:tcBorders>
            <w:tcMar>
              <w:top w:w="0" w:type="dxa"/>
              <w:left w:w="108" w:type="dxa"/>
              <w:bottom w:w="0" w:type="dxa"/>
              <w:right w:w="108" w:type="dxa"/>
            </w:tcMar>
            <w:vAlign w:val="center"/>
          </w:tcPr>
          <w:p w14:paraId="27D8A734" w14:textId="77777777" w:rsidR="00E7028F" w:rsidRPr="00E7028F" w:rsidRDefault="00E7028F" w:rsidP="00E7028F">
            <w:pPr>
              <w:spacing w:before="40" w:after="0"/>
              <w:ind w:left="374"/>
            </w:pPr>
            <w:r w:rsidRPr="00E7028F">
              <w:t>6309</w:t>
            </w:r>
          </w:p>
        </w:tc>
        <w:tc>
          <w:tcPr>
            <w:tcW w:w="724" w:type="pct"/>
            <w:tcBorders>
              <w:top w:val="single" w:sz="4" w:space="0" w:color="auto"/>
              <w:left w:val="nil"/>
              <w:bottom w:val="nil"/>
              <w:right w:val="nil"/>
            </w:tcBorders>
            <w:tcMar>
              <w:top w:w="0" w:type="dxa"/>
              <w:left w:w="108" w:type="dxa"/>
              <w:bottom w:w="0" w:type="dxa"/>
              <w:right w:w="108" w:type="dxa"/>
            </w:tcMar>
            <w:vAlign w:val="center"/>
          </w:tcPr>
          <w:p w14:paraId="3D934B4F" w14:textId="77777777" w:rsidR="00E7028F" w:rsidRPr="00E7028F" w:rsidRDefault="00E7028F" w:rsidP="00E7028F">
            <w:pPr>
              <w:spacing w:before="40" w:after="0"/>
              <w:ind w:left="431"/>
            </w:pPr>
            <w:r w:rsidRPr="00E7028F">
              <w:t>433</w:t>
            </w:r>
          </w:p>
        </w:tc>
        <w:tc>
          <w:tcPr>
            <w:tcW w:w="975" w:type="pct"/>
            <w:tcBorders>
              <w:top w:val="single" w:sz="4" w:space="0" w:color="auto"/>
              <w:left w:val="nil"/>
              <w:bottom w:val="nil"/>
              <w:right w:val="nil"/>
            </w:tcBorders>
            <w:tcMar>
              <w:top w:w="0" w:type="dxa"/>
              <w:left w:w="108" w:type="dxa"/>
              <w:bottom w:w="0" w:type="dxa"/>
              <w:right w:w="108" w:type="dxa"/>
            </w:tcMar>
            <w:vAlign w:val="center"/>
          </w:tcPr>
          <w:p w14:paraId="56BCF23C" w14:textId="77777777" w:rsidR="00E7028F" w:rsidRPr="00E7028F" w:rsidRDefault="00E7028F" w:rsidP="00E7028F">
            <w:pPr>
              <w:spacing w:before="40" w:after="0"/>
              <w:ind w:left="493"/>
            </w:pPr>
            <w:r w:rsidRPr="00E7028F">
              <w:t>D135622</w:t>
            </w:r>
          </w:p>
        </w:tc>
        <w:tc>
          <w:tcPr>
            <w:tcW w:w="807" w:type="pct"/>
            <w:tcBorders>
              <w:top w:val="single" w:sz="4" w:space="0" w:color="auto"/>
              <w:left w:val="nil"/>
              <w:bottom w:val="nil"/>
              <w:right w:val="nil"/>
            </w:tcBorders>
            <w:tcMar>
              <w:top w:w="0" w:type="dxa"/>
              <w:left w:w="108" w:type="dxa"/>
              <w:bottom w:w="0" w:type="dxa"/>
              <w:right w:w="108" w:type="dxa"/>
            </w:tcMar>
            <w:vAlign w:val="center"/>
          </w:tcPr>
          <w:p w14:paraId="29A5CE27" w14:textId="77777777" w:rsidR="00E7028F" w:rsidRPr="00E7028F" w:rsidRDefault="00E7028F" w:rsidP="00E7028F">
            <w:pPr>
              <w:spacing w:before="40" w:after="0"/>
              <w:ind w:left="404"/>
            </w:pPr>
            <w:r w:rsidRPr="00E7028F">
              <w:t>A459</w:t>
            </w:r>
          </w:p>
        </w:tc>
      </w:tr>
      <w:tr w:rsidR="00E7028F" w:rsidRPr="00E7028F" w14:paraId="6E40F8F5" w14:textId="77777777" w:rsidTr="000E227A">
        <w:trPr>
          <w:jc w:val="center"/>
        </w:trPr>
        <w:tc>
          <w:tcPr>
            <w:tcW w:w="1769" w:type="pct"/>
            <w:tcBorders>
              <w:top w:val="nil"/>
              <w:left w:val="nil"/>
              <w:bottom w:val="nil"/>
              <w:right w:val="nil"/>
            </w:tcBorders>
            <w:tcMar>
              <w:top w:w="0" w:type="dxa"/>
              <w:left w:w="108" w:type="dxa"/>
              <w:bottom w:w="0" w:type="dxa"/>
              <w:right w:w="108" w:type="dxa"/>
            </w:tcMar>
            <w:vAlign w:val="center"/>
          </w:tcPr>
          <w:p w14:paraId="007B0099" w14:textId="77777777" w:rsidR="00E7028F" w:rsidRPr="00E7028F" w:rsidRDefault="00E7028F" w:rsidP="00E7028F">
            <w:pPr>
              <w:spacing w:after="0"/>
            </w:pPr>
            <w:r w:rsidRPr="00E7028F">
              <w:t>64 Glenburnie Street, Seaton</w:t>
            </w:r>
          </w:p>
        </w:tc>
        <w:tc>
          <w:tcPr>
            <w:tcW w:w="725" w:type="pct"/>
            <w:tcBorders>
              <w:top w:val="nil"/>
              <w:left w:val="nil"/>
              <w:bottom w:val="nil"/>
              <w:right w:val="nil"/>
            </w:tcBorders>
            <w:tcMar>
              <w:top w:w="0" w:type="dxa"/>
              <w:left w:w="108" w:type="dxa"/>
              <w:bottom w:w="0" w:type="dxa"/>
              <w:right w:w="108" w:type="dxa"/>
            </w:tcMar>
            <w:vAlign w:val="center"/>
          </w:tcPr>
          <w:p w14:paraId="09D2ADA6" w14:textId="77777777" w:rsidR="00E7028F" w:rsidRPr="00E7028F" w:rsidRDefault="00E7028F" w:rsidP="00E7028F">
            <w:pPr>
              <w:spacing w:after="0"/>
              <w:ind w:left="374"/>
            </w:pPr>
            <w:r w:rsidRPr="00E7028F">
              <w:t>6309</w:t>
            </w:r>
          </w:p>
        </w:tc>
        <w:tc>
          <w:tcPr>
            <w:tcW w:w="724" w:type="pct"/>
            <w:tcBorders>
              <w:top w:val="nil"/>
              <w:left w:val="nil"/>
              <w:bottom w:val="nil"/>
              <w:right w:val="nil"/>
            </w:tcBorders>
            <w:tcMar>
              <w:top w:w="0" w:type="dxa"/>
              <w:left w:w="108" w:type="dxa"/>
              <w:bottom w:w="0" w:type="dxa"/>
              <w:right w:w="108" w:type="dxa"/>
            </w:tcMar>
            <w:vAlign w:val="center"/>
          </w:tcPr>
          <w:p w14:paraId="725C7865" w14:textId="77777777" w:rsidR="00E7028F" w:rsidRPr="00E7028F" w:rsidRDefault="00E7028F" w:rsidP="00E7028F">
            <w:pPr>
              <w:spacing w:after="0"/>
              <w:ind w:left="431"/>
            </w:pPr>
            <w:r w:rsidRPr="00E7028F">
              <w:t>434</w:t>
            </w:r>
          </w:p>
        </w:tc>
        <w:tc>
          <w:tcPr>
            <w:tcW w:w="975" w:type="pct"/>
            <w:tcBorders>
              <w:top w:val="nil"/>
              <w:left w:val="nil"/>
              <w:bottom w:val="nil"/>
              <w:right w:val="nil"/>
            </w:tcBorders>
            <w:tcMar>
              <w:top w:w="0" w:type="dxa"/>
              <w:left w:w="108" w:type="dxa"/>
              <w:bottom w:w="0" w:type="dxa"/>
              <w:right w:w="108" w:type="dxa"/>
            </w:tcMar>
            <w:vAlign w:val="center"/>
          </w:tcPr>
          <w:p w14:paraId="60839DC8" w14:textId="77777777" w:rsidR="00E7028F" w:rsidRPr="00E7028F" w:rsidRDefault="00E7028F" w:rsidP="00E7028F">
            <w:pPr>
              <w:spacing w:after="0"/>
              <w:ind w:left="493"/>
            </w:pPr>
            <w:r w:rsidRPr="00E7028F">
              <w:t>D135622</w:t>
            </w:r>
          </w:p>
        </w:tc>
        <w:tc>
          <w:tcPr>
            <w:tcW w:w="807" w:type="pct"/>
            <w:tcBorders>
              <w:top w:val="nil"/>
              <w:left w:val="nil"/>
              <w:bottom w:val="nil"/>
              <w:right w:val="nil"/>
            </w:tcBorders>
            <w:tcMar>
              <w:top w:w="0" w:type="dxa"/>
              <w:left w:w="108" w:type="dxa"/>
              <w:bottom w:w="0" w:type="dxa"/>
              <w:right w:w="108" w:type="dxa"/>
            </w:tcMar>
            <w:vAlign w:val="center"/>
          </w:tcPr>
          <w:p w14:paraId="3448F738" w14:textId="77777777" w:rsidR="00E7028F" w:rsidRPr="00E7028F" w:rsidRDefault="00E7028F" w:rsidP="00E7028F">
            <w:pPr>
              <w:spacing w:after="0"/>
              <w:ind w:left="404"/>
            </w:pPr>
            <w:r w:rsidRPr="00E7028F">
              <w:t>A460</w:t>
            </w:r>
          </w:p>
        </w:tc>
      </w:tr>
      <w:tr w:rsidR="00E7028F" w:rsidRPr="00E7028F" w14:paraId="396F24BE" w14:textId="77777777" w:rsidTr="000E227A">
        <w:trPr>
          <w:jc w:val="center"/>
        </w:trPr>
        <w:tc>
          <w:tcPr>
            <w:tcW w:w="1769" w:type="pct"/>
            <w:tcBorders>
              <w:top w:val="nil"/>
              <w:left w:val="nil"/>
              <w:bottom w:val="nil"/>
              <w:right w:val="nil"/>
            </w:tcBorders>
            <w:tcMar>
              <w:top w:w="0" w:type="dxa"/>
              <w:left w:w="108" w:type="dxa"/>
              <w:bottom w:w="0" w:type="dxa"/>
              <w:right w:w="108" w:type="dxa"/>
            </w:tcMar>
            <w:vAlign w:val="center"/>
          </w:tcPr>
          <w:p w14:paraId="4D9BB222" w14:textId="77777777" w:rsidR="00E7028F" w:rsidRPr="00E7028F" w:rsidRDefault="00E7028F" w:rsidP="00E7028F">
            <w:pPr>
              <w:spacing w:after="0"/>
            </w:pPr>
            <w:r w:rsidRPr="00E7028F">
              <w:t>62A Glenburnie Street, Seaton</w:t>
            </w:r>
          </w:p>
        </w:tc>
        <w:tc>
          <w:tcPr>
            <w:tcW w:w="725" w:type="pct"/>
            <w:tcBorders>
              <w:top w:val="nil"/>
              <w:left w:val="nil"/>
              <w:bottom w:val="nil"/>
              <w:right w:val="nil"/>
            </w:tcBorders>
            <w:tcMar>
              <w:top w:w="0" w:type="dxa"/>
              <w:left w:w="108" w:type="dxa"/>
              <w:bottom w:w="0" w:type="dxa"/>
              <w:right w:w="108" w:type="dxa"/>
            </w:tcMar>
            <w:vAlign w:val="center"/>
          </w:tcPr>
          <w:p w14:paraId="690DA82D" w14:textId="77777777" w:rsidR="00E7028F" w:rsidRPr="00E7028F" w:rsidRDefault="00E7028F" w:rsidP="00E7028F">
            <w:pPr>
              <w:spacing w:after="0"/>
              <w:ind w:left="374"/>
            </w:pPr>
            <w:r w:rsidRPr="00E7028F">
              <w:t>6309</w:t>
            </w:r>
          </w:p>
        </w:tc>
        <w:tc>
          <w:tcPr>
            <w:tcW w:w="724" w:type="pct"/>
            <w:tcBorders>
              <w:top w:val="nil"/>
              <w:left w:val="nil"/>
              <w:bottom w:val="nil"/>
              <w:right w:val="nil"/>
            </w:tcBorders>
            <w:tcMar>
              <w:top w:w="0" w:type="dxa"/>
              <w:left w:w="108" w:type="dxa"/>
              <w:bottom w:w="0" w:type="dxa"/>
              <w:right w:w="108" w:type="dxa"/>
            </w:tcMar>
            <w:vAlign w:val="center"/>
          </w:tcPr>
          <w:p w14:paraId="4BF9C0C8" w14:textId="77777777" w:rsidR="00E7028F" w:rsidRPr="00E7028F" w:rsidRDefault="00E7028F" w:rsidP="00E7028F">
            <w:pPr>
              <w:spacing w:after="0"/>
              <w:ind w:left="431"/>
            </w:pPr>
            <w:r w:rsidRPr="00E7028F">
              <w:t>435</w:t>
            </w:r>
          </w:p>
        </w:tc>
        <w:tc>
          <w:tcPr>
            <w:tcW w:w="975" w:type="pct"/>
            <w:tcBorders>
              <w:top w:val="nil"/>
              <w:left w:val="nil"/>
              <w:bottom w:val="nil"/>
              <w:right w:val="nil"/>
            </w:tcBorders>
            <w:tcMar>
              <w:top w:w="0" w:type="dxa"/>
              <w:left w:w="108" w:type="dxa"/>
              <w:bottom w:w="0" w:type="dxa"/>
              <w:right w:w="108" w:type="dxa"/>
            </w:tcMar>
            <w:vAlign w:val="center"/>
          </w:tcPr>
          <w:p w14:paraId="47658ADA" w14:textId="77777777" w:rsidR="00E7028F" w:rsidRPr="00E7028F" w:rsidRDefault="00E7028F" w:rsidP="00E7028F">
            <w:pPr>
              <w:spacing w:after="0"/>
              <w:ind w:left="493"/>
            </w:pPr>
            <w:r w:rsidRPr="00E7028F">
              <w:t>D135622</w:t>
            </w:r>
          </w:p>
        </w:tc>
        <w:tc>
          <w:tcPr>
            <w:tcW w:w="807" w:type="pct"/>
            <w:tcBorders>
              <w:top w:val="nil"/>
              <w:left w:val="nil"/>
              <w:bottom w:val="nil"/>
              <w:right w:val="nil"/>
            </w:tcBorders>
            <w:tcMar>
              <w:top w:w="0" w:type="dxa"/>
              <w:left w:w="108" w:type="dxa"/>
              <w:bottom w:w="0" w:type="dxa"/>
              <w:right w:w="108" w:type="dxa"/>
            </w:tcMar>
            <w:vAlign w:val="center"/>
          </w:tcPr>
          <w:p w14:paraId="1D8CB101" w14:textId="77777777" w:rsidR="00E7028F" w:rsidRPr="00E7028F" w:rsidRDefault="00E7028F" w:rsidP="00E7028F">
            <w:pPr>
              <w:spacing w:after="0"/>
              <w:ind w:left="404"/>
            </w:pPr>
            <w:r w:rsidRPr="00E7028F">
              <w:t>A461</w:t>
            </w:r>
          </w:p>
        </w:tc>
      </w:tr>
      <w:tr w:rsidR="00E7028F" w:rsidRPr="00E7028F" w14:paraId="25F6CF32" w14:textId="77777777" w:rsidTr="000E227A">
        <w:trPr>
          <w:jc w:val="center"/>
        </w:trPr>
        <w:tc>
          <w:tcPr>
            <w:tcW w:w="1769" w:type="pct"/>
            <w:tcBorders>
              <w:top w:val="nil"/>
              <w:left w:val="nil"/>
              <w:bottom w:val="single" w:sz="4" w:space="0" w:color="auto"/>
              <w:right w:val="nil"/>
            </w:tcBorders>
            <w:tcMar>
              <w:top w:w="0" w:type="dxa"/>
              <w:left w:w="108" w:type="dxa"/>
              <w:bottom w:w="0" w:type="dxa"/>
              <w:right w:w="108" w:type="dxa"/>
            </w:tcMar>
            <w:vAlign w:val="center"/>
          </w:tcPr>
          <w:p w14:paraId="77E15B65" w14:textId="77777777" w:rsidR="00E7028F" w:rsidRPr="00E7028F" w:rsidRDefault="00E7028F" w:rsidP="00E7028F">
            <w:pPr>
              <w:spacing w:after="60"/>
            </w:pPr>
            <w:r w:rsidRPr="00E7028F">
              <w:t>62 Glenburnie Street, Seaton</w:t>
            </w:r>
          </w:p>
        </w:tc>
        <w:tc>
          <w:tcPr>
            <w:tcW w:w="725" w:type="pct"/>
            <w:tcBorders>
              <w:top w:val="nil"/>
              <w:left w:val="nil"/>
              <w:bottom w:val="single" w:sz="4" w:space="0" w:color="auto"/>
              <w:right w:val="nil"/>
            </w:tcBorders>
            <w:tcMar>
              <w:top w:w="0" w:type="dxa"/>
              <w:left w:w="108" w:type="dxa"/>
              <w:bottom w:w="0" w:type="dxa"/>
              <w:right w:w="108" w:type="dxa"/>
            </w:tcMar>
            <w:vAlign w:val="center"/>
          </w:tcPr>
          <w:p w14:paraId="1B7C31BF" w14:textId="77777777" w:rsidR="00E7028F" w:rsidRPr="00E7028F" w:rsidRDefault="00E7028F" w:rsidP="00E7028F">
            <w:pPr>
              <w:spacing w:after="60"/>
              <w:ind w:left="374"/>
            </w:pPr>
            <w:r w:rsidRPr="00E7028F">
              <w:t>6309</w:t>
            </w:r>
          </w:p>
        </w:tc>
        <w:tc>
          <w:tcPr>
            <w:tcW w:w="724" w:type="pct"/>
            <w:tcBorders>
              <w:top w:val="nil"/>
              <w:left w:val="nil"/>
              <w:bottom w:val="single" w:sz="4" w:space="0" w:color="auto"/>
              <w:right w:val="nil"/>
            </w:tcBorders>
            <w:tcMar>
              <w:top w:w="0" w:type="dxa"/>
              <w:left w:w="108" w:type="dxa"/>
              <w:bottom w:w="0" w:type="dxa"/>
              <w:right w:w="108" w:type="dxa"/>
            </w:tcMar>
            <w:vAlign w:val="center"/>
          </w:tcPr>
          <w:p w14:paraId="068D3033" w14:textId="77777777" w:rsidR="00E7028F" w:rsidRPr="00E7028F" w:rsidRDefault="00E7028F" w:rsidP="00E7028F">
            <w:pPr>
              <w:spacing w:after="60"/>
              <w:ind w:left="431"/>
            </w:pPr>
            <w:r w:rsidRPr="00E7028F">
              <w:t>436</w:t>
            </w:r>
          </w:p>
        </w:tc>
        <w:tc>
          <w:tcPr>
            <w:tcW w:w="975" w:type="pct"/>
            <w:tcBorders>
              <w:top w:val="nil"/>
              <w:left w:val="nil"/>
              <w:bottom w:val="single" w:sz="4" w:space="0" w:color="auto"/>
              <w:right w:val="nil"/>
            </w:tcBorders>
            <w:tcMar>
              <w:top w:w="0" w:type="dxa"/>
              <w:left w:w="108" w:type="dxa"/>
              <w:bottom w:w="0" w:type="dxa"/>
              <w:right w:w="108" w:type="dxa"/>
            </w:tcMar>
            <w:vAlign w:val="center"/>
          </w:tcPr>
          <w:p w14:paraId="717ED6C3" w14:textId="77777777" w:rsidR="00E7028F" w:rsidRPr="00E7028F" w:rsidRDefault="00E7028F" w:rsidP="00E7028F">
            <w:pPr>
              <w:spacing w:after="60"/>
              <w:ind w:left="493"/>
            </w:pPr>
            <w:r w:rsidRPr="00E7028F">
              <w:t>D135622</w:t>
            </w:r>
          </w:p>
        </w:tc>
        <w:tc>
          <w:tcPr>
            <w:tcW w:w="807" w:type="pct"/>
            <w:tcBorders>
              <w:top w:val="nil"/>
              <w:left w:val="nil"/>
              <w:bottom w:val="single" w:sz="4" w:space="0" w:color="auto"/>
              <w:right w:val="nil"/>
            </w:tcBorders>
            <w:tcMar>
              <w:top w:w="0" w:type="dxa"/>
              <w:left w:w="108" w:type="dxa"/>
              <w:bottom w:w="0" w:type="dxa"/>
              <w:right w:w="108" w:type="dxa"/>
            </w:tcMar>
            <w:vAlign w:val="center"/>
          </w:tcPr>
          <w:p w14:paraId="2A01E68F" w14:textId="77777777" w:rsidR="00E7028F" w:rsidRPr="00E7028F" w:rsidRDefault="00E7028F" w:rsidP="00E7028F">
            <w:pPr>
              <w:spacing w:after="60"/>
              <w:ind w:left="404"/>
            </w:pPr>
            <w:r w:rsidRPr="00E7028F">
              <w:t>A462</w:t>
            </w:r>
          </w:p>
        </w:tc>
      </w:tr>
    </w:tbl>
    <w:p w14:paraId="08778370" w14:textId="77777777" w:rsidR="00E7028F" w:rsidRPr="00E7028F" w:rsidRDefault="00E7028F" w:rsidP="00836CCB">
      <w:pPr>
        <w:spacing w:before="60" w:after="0"/>
        <w:rPr>
          <w:rFonts w:eastAsia="Times New Roman"/>
          <w:szCs w:val="17"/>
        </w:rPr>
      </w:pPr>
      <w:r w:rsidRPr="00E7028F">
        <w:rPr>
          <w:rFonts w:eastAsia="Times New Roman"/>
          <w:szCs w:val="17"/>
        </w:rPr>
        <w:t>Dated: 18 February 2025</w:t>
      </w:r>
    </w:p>
    <w:p w14:paraId="6BFA2418" w14:textId="77777777" w:rsidR="00E7028F" w:rsidRPr="00E7028F" w:rsidRDefault="00E7028F" w:rsidP="00E7028F">
      <w:pPr>
        <w:spacing w:after="0"/>
        <w:jc w:val="right"/>
        <w:rPr>
          <w:rFonts w:eastAsia="Times New Roman"/>
          <w:smallCaps/>
          <w:szCs w:val="20"/>
        </w:rPr>
      </w:pPr>
      <w:r w:rsidRPr="00E7028F">
        <w:rPr>
          <w:rFonts w:eastAsia="Times New Roman"/>
          <w:smallCaps/>
          <w:szCs w:val="20"/>
        </w:rPr>
        <w:t>Hon Nick Champion MP</w:t>
      </w:r>
    </w:p>
    <w:p w14:paraId="7647A6B3" w14:textId="77777777" w:rsidR="00E7028F" w:rsidRDefault="00E7028F" w:rsidP="00E7028F">
      <w:pPr>
        <w:spacing w:after="0"/>
        <w:jc w:val="right"/>
        <w:rPr>
          <w:rFonts w:eastAsia="Times New Roman"/>
          <w:szCs w:val="17"/>
        </w:rPr>
      </w:pPr>
      <w:r w:rsidRPr="00E7028F">
        <w:rPr>
          <w:rFonts w:eastAsia="Times New Roman"/>
          <w:szCs w:val="17"/>
        </w:rPr>
        <w:t>Minister for Housing and Urban Development</w:t>
      </w:r>
    </w:p>
    <w:p w14:paraId="53F47257" w14:textId="77777777" w:rsidR="00E7028F" w:rsidRDefault="00E7028F" w:rsidP="00E7028F">
      <w:pPr>
        <w:pBdr>
          <w:bottom w:val="single" w:sz="4" w:space="1" w:color="auto"/>
        </w:pBdr>
        <w:spacing w:after="0" w:line="52" w:lineRule="exact"/>
        <w:jc w:val="center"/>
        <w:rPr>
          <w:rFonts w:eastAsia="Times New Roman"/>
          <w:szCs w:val="17"/>
        </w:rPr>
      </w:pPr>
    </w:p>
    <w:p w14:paraId="3D4EB494" w14:textId="77777777" w:rsidR="00E7028F" w:rsidRDefault="00E7028F" w:rsidP="00E7028F">
      <w:pPr>
        <w:pBdr>
          <w:top w:val="single" w:sz="4" w:space="1" w:color="auto"/>
        </w:pBdr>
        <w:spacing w:before="34" w:after="0" w:line="14" w:lineRule="exact"/>
        <w:jc w:val="center"/>
        <w:rPr>
          <w:rFonts w:eastAsia="Times New Roman"/>
          <w:szCs w:val="17"/>
        </w:rPr>
      </w:pPr>
    </w:p>
    <w:p w14:paraId="71AF9FBB" w14:textId="77777777" w:rsidR="009D1E2E" w:rsidRPr="009D1E2E" w:rsidRDefault="009D1E2E" w:rsidP="0043001F">
      <w:pPr>
        <w:pStyle w:val="Heading1"/>
      </w:pPr>
      <w:bookmarkStart w:id="68" w:name="_Toc33707983"/>
      <w:bookmarkStart w:id="69" w:name="_Toc33708154"/>
      <w:bookmarkStart w:id="70" w:name="_Toc191542992"/>
      <w:r>
        <w:lastRenderedPageBreak/>
        <w:t>Local</w:t>
      </w:r>
      <w:r w:rsidRPr="009D1E2E">
        <w:t xml:space="preserve"> Government Instruments</w:t>
      </w:r>
      <w:bookmarkEnd w:id="68"/>
      <w:bookmarkEnd w:id="69"/>
      <w:bookmarkEnd w:id="70"/>
    </w:p>
    <w:p w14:paraId="30BEF51B" w14:textId="486EA914" w:rsidR="002949AE" w:rsidRDefault="007004B5" w:rsidP="007004B5">
      <w:pPr>
        <w:pStyle w:val="Heading2"/>
      </w:pPr>
      <w:bookmarkStart w:id="71" w:name="_Toc191542993"/>
      <w:r>
        <w:t>City of Adelaide</w:t>
      </w:r>
      <w:bookmarkEnd w:id="71"/>
    </w:p>
    <w:p w14:paraId="28CDDB43" w14:textId="77777777" w:rsidR="002949AE" w:rsidRDefault="002949AE" w:rsidP="002949AE">
      <w:pPr>
        <w:pStyle w:val="GG-Title2"/>
      </w:pPr>
      <w:r>
        <w:t>Roads (Opening and Closing) Act 1991</w:t>
      </w:r>
    </w:p>
    <w:p w14:paraId="7C6153A1" w14:textId="77777777" w:rsidR="002949AE" w:rsidRDefault="002949AE" w:rsidP="002949AE">
      <w:pPr>
        <w:pStyle w:val="GG-Title3"/>
      </w:pPr>
      <w:r>
        <w:t>Road Closing—Public Road between Young Street and Eliza Street, Adelaide</w:t>
      </w:r>
    </w:p>
    <w:p w14:paraId="3CD253D4" w14:textId="77777777" w:rsidR="002949AE" w:rsidRDefault="002949AE" w:rsidP="002949AE">
      <w:pPr>
        <w:pStyle w:val="GG-body"/>
      </w:pPr>
      <w:r>
        <w:t xml:space="preserve">Notice is hereby given, pursuant to Section 10 of the </w:t>
      </w:r>
      <w:r w:rsidRPr="002B10D8">
        <w:rPr>
          <w:i/>
          <w:iCs/>
        </w:rPr>
        <w:t>Roads (Opening and Closing) Act 1991</w:t>
      </w:r>
      <w:r>
        <w:t xml:space="preserve"> that the City of Adelaide proposes to make a Road Process Order to close and transfer to Young Gun Collective Pty Ltd the Public Road between Young Street and Eliza Street being allotment 98 in F209704, more particularly delineated and lettered ‘A’ on Preliminary Plan 25/0004.</w:t>
      </w:r>
    </w:p>
    <w:p w14:paraId="6BE6CE18" w14:textId="77777777" w:rsidR="002949AE" w:rsidRDefault="002949AE" w:rsidP="002949AE">
      <w:pPr>
        <w:pStyle w:val="GG-body"/>
      </w:pPr>
      <w:r>
        <w:t xml:space="preserve">The Preliminary Plan is available for public inspection at the office of the City of Adelaide, 25 Pirie Street, Adelaide and the Office of the Surveyor-General located at Level 10, 83 Pirie Street, Adelaide, during normal office hours. The Preliminary Plan can also be viewed at </w:t>
      </w:r>
      <w:hyperlink r:id="rId26" w:history="1">
        <w:r w:rsidRPr="00AA0096">
          <w:rPr>
            <w:rStyle w:val="Hyperlink"/>
          </w:rPr>
          <w:t>www.sa.gov.au/roadsactproposals</w:t>
        </w:r>
      </w:hyperlink>
      <w:r>
        <w:t xml:space="preserve">. </w:t>
      </w:r>
    </w:p>
    <w:p w14:paraId="107D6602" w14:textId="77777777" w:rsidR="002949AE" w:rsidRDefault="002949AE" w:rsidP="002949AE">
      <w:pPr>
        <w:pStyle w:val="GG-body"/>
      </w:pPr>
      <w:r>
        <w:t>Any application for easement or objection must set out the full name, address and details of the submission and must be fully supported by reasons. The application for easement or objection must be made in writing to the City of Adelaide, GPO Box 2252, Adelaide SA 5001, within 28 days of this notice and a copy must be forwarded to the Surveyor-General at GPO Box 1815, Adelaide SA 5001. Where a submission is made, the applicant must be prepared to support their submission in person upon council giving notification of a meeting at which the matter will be considered.</w:t>
      </w:r>
    </w:p>
    <w:p w14:paraId="35BF14CC" w14:textId="77777777" w:rsidR="002949AE" w:rsidRDefault="002949AE" w:rsidP="002949AE">
      <w:pPr>
        <w:pStyle w:val="GG-SDated"/>
      </w:pPr>
      <w:r>
        <w:t>Dated: 17 February 2025</w:t>
      </w:r>
    </w:p>
    <w:p w14:paraId="7E8DA72E" w14:textId="77777777" w:rsidR="002949AE" w:rsidRDefault="002949AE" w:rsidP="002949AE">
      <w:pPr>
        <w:pStyle w:val="GG-SName"/>
      </w:pPr>
      <w:r>
        <w:t>Michael Sedgman</w:t>
      </w:r>
    </w:p>
    <w:p w14:paraId="1B537E15" w14:textId="77777777" w:rsidR="002949AE" w:rsidRDefault="002949AE" w:rsidP="002949AE">
      <w:pPr>
        <w:pStyle w:val="GG-Signature"/>
      </w:pPr>
      <w:r>
        <w:t>Chief Executive Officer</w:t>
      </w:r>
    </w:p>
    <w:p w14:paraId="11B6ADE9" w14:textId="77777777" w:rsidR="002949AE" w:rsidRDefault="002949AE" w:rsidP="002949AE">
      <w:pPr>
        <w:pStyle w:val="GG-Signature"/>
        <w:pBdr>
          <w:bottom w:val="single" w:sz="4" w:space="1" w:color="auto"/>
        </w:pBdr>
        <w:spacing w:line="52" w:lineRule="exact"/>
        <w:jc w:val="center"/>
      </w:pPr>
    </w:p>
    <w:p w14:paraId="678DFFB2" w14:textId="77777777" w:rsidR="002949AE" w:rsidRDefault="002949AE" w:rsidP="002949AE">
      <w:pPr>
        <w:pStyle w:val="GG-Signature"/>
        <w:pBdr>
          <w:top w:val="single" w:sz="4" w:space="1" w:color="auto"/>
        </w:pBdr>
        <w:spacing w:before="34" w:line="14" w:lineRule="exact"/>
        <w:jc w:val="center"/>
      </w:pPr>
    </w:p>
    <w:p w14:paraId="3FF6F3CC" w14:textId="77777777" w:rsidR="002949AE" w:rsidRDefault="002949AE" w:rsidP="00262083">
      <w:pPr>
        <w:pStyle w:val="NoSpacing"/>
      </w:pPr>
    </w:p>
    <w:p w14:paraId="0EAB12D3" w14:textId="703A0484" w:rsidR="00262083" w:rsidRPr="00262083" w:rsidRDefault="007004B5" w:rsidP="007004B5">
      <w:pPr>
        <w:pStyle w:val="Heading2"/>
      </w:pPr>
      <w:bookmarkStart w:id="72" w:name="_Toc191542994"/>
      <w:r w:rsidRPr="00262083">
        <w:t>Wattle Range Council</w:t>
      </w:r>
      <w:bookmarkEnd w:id="72"/>
    </w:p>
    <w:p w14:paraId="53FDD442" w14:textId="77777777" w:rsidR="00262083" w:rsidRPr="00262083" w:rsidRDefault="00262083" w:rsidP="00262083">
      <w:pPr>
        <w:jc w:val="center"/>
        <w:rPr>
          <w:smallCaps/>
          <w:szCs w:val="17"/>
        </w:rPr>
      </w:pPr>
      <w:r w:rsidRPr="00262083">
        <w:rPr>
          <w:smallCaps/>
          <w:szCs w:val="17"/>
        </w:rPr>
        <w:t>Local Government Act 1999</w:t>
      </w:r>
    </w:p>
    <w:p w14:paraId="4BC4DD3D" w14:textId="77777777" w:rsidR="00262083" w:rsidRPr="00262083" w:rsidRDefault="00262083" w:rsidP="00262083">
      <w:pPr>
        <w:jc w:val="center"/>
        <w:rPr>
          <w:i/>
          <w:szCs w:val="17"/>
        </w:rPr>
      </w:pPr>
      <w:r w:rsidRPr="00262083">
        <w:rPr>
          <w:i/>
          <w:szCs w:val="17"/>
        </w:rPr>
        <w:t>Adoption of Community Land Management Plans</w:t>
      </w:r>
    </w:p>
    <w:p w14:paraId="5A685143" w14:textId="77777777" w:rsidR="00262083" w:rsidRPr="00262083" w:rsidRDefault="00262083" w:rsidP="00262083">
      <w:pPr>
        <w:rPr>
          <w:rFonts w:eastAsia="Times New Roman"/>
          <w:szCs w:val="17"/>
        </w:rPr>
      </w:pPr>
      <w:r w:rsidRPr="00262083">
        <w:rPr>
          <w:rFonts w:eastAsia="Times New Roman"/>
          <w:szCs w:val="17"/>
        </w:rPr>
        <w:t xml:space="preserve">Notice is hereby given pursuant to Section 197(3) of the </w:t>
      </w:r>
      <w:r w:rsidRPr="00262083">
        <w:rPr>
          <w:rFonts w:eastAsia="Times New Roman"/>
          <w:i/>
          <w:iCs/>
          <w:szCs w:val="17"/>
        </w:rPr>
        <w:t>Local Government Act 1999</w:t>
      </w:r>
      <w:r w:rsidRPr="00262083">
        <w:rPr>
          <w:rFonts w:eastAsia="Times New Roman"/>
          <w:szCs w:val="17"/>
        </w:rPr>
        <w:t xml:space="preserve"> that the Wattle Range Council, at its Ordinary Meeting held 11 February 2025, resolved to adopt the following Community Land Management Plans:</w:t>
      </w:r>
    </w:p>
    <w:p w14:paraId="6F026AF4" w14:textId="77777777" w:rsidR="00262083" w:rsidRPr="00262083" w:rsidRDefault="00262083" w:rsidP="00262083">
      <w:pPr>
        <w:spacing w:after="40"/>
        <w:ind w:left="284" w:hanging="142"/>
        <w:rPr>
          <w:rFonts w:eastAsia="Times New Roman"/>
          <w:szCs w:val="17"/>
        </w:rPr>
      </w:pPr>
      <w:r w:rsidRPr="00262083">
        <w:rPr>
          <w:rFonts w:eastAsia="Times New Roman"/>
          <w:szCs w:val="17"/>
        </w:rPr>
        <w:t>•</w:t>
      </w:r>
      <w:r w:rsidRPr="00262083">
        <w:rPr>
          <w:rFonts w:eastAsia="Times New Roman"/>
          <w:szCs w:val="17"/>
        </w:rPr>
        <w:tab/>
        <w:t xml:space="preserve">Active Recreation Reserves—Council Owned Land (CLMP No. 1) </w:t>
      </w:r>
    </w:p>
    <w:p w14:paraId="4ACDF6E5" w14:textId="77777777" w:rsidR="00262083" w:rsidRPr="00262083" w:rsidRDefault="00262083" w:rsidP="00262083">
      <w:pPr>
        <w:spacing w:after="40"/>
        <w:ind w:left="284" w:hanging="142"/>
        <w:rPr>
          <w:rFonts w:eastAsia="Times New Roman"/>
          <w:szCs w:val="17"/>
        </w:rPr>
      </w:pPr>
      <w:r w:rsidRPr="00262083">
        <w:rPr>
          <w:rFonts w:eastAsia="Times New Roman"/>
          <w:szCs w:val="17"/>
        </w:rPr>
        <w:t>•</w:t>
      </w:r>
      <w:r w:rsidRPr="00262083">
        <w:rPr>
          <w:rFonts w:eastAsia="Times New Roman"/>
          <w:szCs w:val="17"/>
        </w:rPr>
        <w:tab/>
        <w:t xml:space="preserve">Active Recreation Reserves—Crown Land (CLMP No. 2) </w:t>
      </w:r>
    </w:p>
    <w:p w14:paraId="5A858A87" w14:textId="77777777" w:rsidR="00262083" w:rsidRPr="00262083" w:rsidRDefault="00262083" w:rsidP="00262083">
      <w:pPr>
        <w:spacing w:after="40"/>
        <w:ind w:left="284" w:hanging="142"/>
        <w:rPr>
          <w:rFonts w:eastAsia="Times New Roman"/>
          <w:szCs w:val="17"/>
        </w:rPr>
      </w:pPr>
      <w:r w:rsidRPr="00262083">
        <w:rPr>
          <w:rFonts w:eastAsia="Times New Roman"/>
          <w:szCs w:val="17"/>
        </w:rPr>
        <w:t>•</w:t>
      </w:r>
      <w:r w:rsidRPr="00262083">
        <w:rPr>
          <w:rFonts w:eastAsia="Times New Roman"/>
          <w:szCs w:val="17"/>
        </w:rPr>
        <w:tab/>
        <w:t xml:space="preserve">Passive Recreation Reserves—Council Owned Land (CLMP No. 3) </w:t>
      </w:r>
    </w:p>
    <w:p w14:paraId="502046FE" w14:textId="77777777" w:rsidR="00262083" w:rsidRPr="00262083" w:rsidRDefault="00262083" w:rsidP="00262083">
      <w:pPr>
        <w:spacing w:after="40"/>
        <w:ind w:left="284" w:hanging="142"/>
        <w:rPr>
          <w:rFonts w:eastAsia="Times New Roman"/>
          <w:szCs w:val="17"/>
        </w:rPr>
      </w:pPr>
      <w:r w:rsidRPr="00262083">
        <w:rPr>
          <w:rFonts w:eastAsia="Times New Roman"/>
          <w:szCs w:val="17"/>
        </w:rPr>
        <w:t>•</w:t>
      </w:r>
      <w:r w:rsidRPr="00262083">
        <w:rPr>
          <w:rFonts w:eastAsia="Times New Roman"/>
          <w:szCs w:val="17"/>
        </w:rPr>
        <w:tab/>
        <w:t xml:space="preserve">Passive Recreation Reserves—Crown Land (CLMP No. 4) </w:t>
      </w:r>
    </w:p>
    <w:p w14:paraId="015051F9" w14:textId="77777777" w:rsidR="00262083" w:rsidRPr="00262083" w:rsidRDefault="00262083" w:rsidP="00262083">
      <w:pPr>
        <w:spacing w:after="40"/>
        <w:ind w:left="284" w:hanging="142"/>
        <w:rPr>
          <w:rFonts w:eastAsia="Times New Roman"/>
          <w:szCs w:val="17"/>
        </w:rPr>
      </w:pPr>
      <w:r w:rsidRPr="00262083">
        <w:rPr>
          <w:rFonts w:eastAsia="Times New Roman"/>
          <w:szCs w:val="17"/>
        </w:rPr>
        <w:t>•</w:t>
      </w:r>
      <w:r w:rsidRPr="00262083">
        <w:rPr>
          <w:rFonts w:eastAsia="Times New Roman"/>
          <w:szCs w:val="17"/>
        </w:rPr>
        <w:tab/>
        <w:t xml:space="preserve">Community Facilities—Council Owned Land (CLMP No. 5) </w:t>
      </w:r>
    </w:p>
    <w:p w14:paraId="01656CD1" w14:textId="77777777" w:rsidR="00262083" w:rsidRPr="00262083" w:rsidRDefault="00262083" w:rsidP="00262083">
      <w:pPr>
        <w:spacing w:after="40"/>
        <w:ind w:left="284" w:hanging="142"/>
        <w:rPr>
          <w:rFonts w:eastAsia="Times New Roman"/>
          <w:szCs w:val="17"/>
        </w:rPr>
      </w:pPr>
      <w:r w:rsidRPr="00262083">
        <w:rPr>
          <w:rFonts w:eastAsia="Times New Roman"/>
          <w:szCs w:val="17"/>
        </w:rPr>
        <w:t>•</w:t>
      </w:r>
      <w:r w:rsidRPr="00262083">
        <w:rPr>
          <w:rFonts w:eastAsia="Times New Roman"/>
          <w:szCs w:val="17"/>
        </w:rPr>
        <w:tab/>
        <w:t xml:space="preserve">Community Facilities—Crown Land (CLMP No. 6) </w:t>
      </w:r>
    </w:p>
    <w:p w14:paraId="2B0C399D" w14:textId="77777777" w:rsidR="00262083" w:rsidRPr="00262083" w:rsidRDefault="00262083" w:rsidP="00262083">
      <w:pPr>
        <w:spacing w:after="40"/>
        <w:ind w:left="284" w:hanging="142"/>
        <w:rPr>
          <w:rFonts w:eastAsia="Times New Roman"/>
          <w:szCs w:val="17"/>
        </w:rPr>
      </w:pPr>
      <w:r w:rsidRPr="00262083">
        <w:rPr>
          <w:rFonts w:eastAsia="Times New Roman"/>
          <w:szCs w:val="17"/>
        </w:rPr>
        <w:t>•</w:t>
      </w:r>
      <w:r w:rsidRPr="00262083">
        <w:rPr>
          <w:rFonts w:eastAsia="Times New Roman"/>
          <w:szCs w:val="17"/>
        </w:rPr>
        <w:tab/>
        <w:t xml:space="preserve">Cemetery Reserves—Council Owned Land (CLMP No. 7) </w:t>
      </w:r>
    </w:p>
    <w:p w14:paraId="0F0AF70B" w14:textId="77777777" w:rsidR="00262083" w:rsidRPr="00262083" w:rsidRDefault="00262083" w:rsidP="00262083">
      <w:pPr>
        <w:spacing w:after="40"/>
        <w:ind w:left="284" w:hanging="142"/>
        <w:rPr>
          <w:rFonts w:eastAsia="Times New Roman"/>
          <w:szCs w:val="17"/>
        </w:rPr>
      </w:pPr>
      <w:r w:rsidRPr="00262083">
        <w:rPr>
          <w:rFonts w:eastAsia="Times New Roman"/>
          <w:szCs w:val="17"/>
        </w:rPr>
        <w:t>•</w:t>
      </w:r>
      <w:r w:rsidRPr="00262083">
        <w:rPr>
          <w:rFonts w:eastAsia="Times New Roman"/>
          <w:szCs w:val="17"/>
        </w:rPr>
        <w:tab/>
        <w:t xml:space="preserve">Cemetery Reserves—Crown Land (CLMP No. 8) </w:t>
      </w:r>
    </w:p>
    <w:p w14:paraId="32B41243" w14:textId="77777777" w:rsidR="00262083" w:rsidRPr="00262083" w:rsidRDefault="00262083" w:rsidP="00262083">
      <w:pPr>
        <w:spacing w:after="40"/>
        <w:ind w:left="284" w:hanging="142"/>
        <w:rPr>
          <w:rFonts w:eastAsia="Times New Roman"/>
          <w:szCs w:val="17"/>
        </w:rPr>
      </w:pPr>
      <w:r w:rsidRPr="00262083">
        <w:rPr>
          <w:rFonts w:eastAsia="Times New Roman"/>
          <w:szCs w:val="17"/>
        </w:rPr>
        <w:t>•</w:t>
      </w:r>
      <w:r w:rsidRPr="00262083">
        <w:rPr>
          <w:rFonts w:eastAsia="Times New Roman"/>
          <w:szCs w:val="17"/>
        </w:rPr>
        <w:tab/>
        <w:t xml:space="preserve">Corporate Resources—Council Owned Land (CLMP No. 9) </w:t>
      </w:r>
    </w:p>
    <w:p w14:paraId="412D6B72" w14:textId="77777777" w:rsidR="00262083" w:rsidRPr="00262083" w:rsidRDefault="00262083" w:rsidP="00262083">
      <w:pPr>
        <w:spacing w:after="40"/>
        <w:ind w:left="284" w:hanging="142"/>
        <w:rPr>
          <w:rFonts w:eastAsia="Times New Roman"/>
          <w:szCs w:val="17"/>
        </w:rPr>
      </w:pPr>
      <w:r w:rsidRPr="00262083">
        <w:rPr>
          <w:rFonts w:eastAsia="Times New Roman"/>
          <w:szCs w:val="17"/>
        </w:rPr>
        <w:t>•</w:t>
      </w:r>
      <w:r w:rsidRPr="00262083">
        <w:rPr>
          <w:rFonts w:eastAsia="Times New Roman"/>
          <w:szCs w:val="17"/>
        </w:rPr>
        <w:tab/>
        <w:t xml:space="preserve">Corporate Resources—Crown Land (CLMP No. 10) </w:t>
      </w:r>
    </w:p>
    <w:p w14:paraId="067FC11B" w14:textId="77777777" w:rsidR="00262083" w:rsidRPr="00262083" w:rsidRDefault="00262083" w:rsidP="00262083">
      <w:pPr>
        <w:spacing w:after="40"/>
        <w:ind w:left="284" w:hanging="142"/>
        <w:rPr>
          <w:rFonts w:eastAsia="Times New Roman"/>
          <w:szCs w:val="17"/>
        </w:rPr>
      </w:pPr>
      <w:r w:rsidRPr="00262083">
        <w:rPr>
          <w:rFonts w:eastAsia="Times New Roman"/>
          <w:szCs w:val="17"/>
        </w:rPr>
        <w:t>•</w:t>
      </w:r>
      <w:r w:rsidRPr="00262083">
        <w:rPr>
          <w:rFonts w:eastAsia="Times New Roman"/>
          <w:szCs w:val="17"/>
        </w:rPr>
        <w:tab/>
        <w:t xml:space="preserve">Millicent Aerodrome—Council Owned Land (CLMP No. 11) </w:t>
      </w:r>
    </w:p>
    <w:p w14:paraId="6E1FEBF1" w14:textId="77777777" w:rsidR="00262083" w:rsidRPr="00262083" w:rsidRDefault="00262083" w:rsidP="00262083">
      <w:pPr>
        <w:ind w:left="284" w:hanging="142"/>
        <w:rPr>
          <w:rFonts w:eastAsia="Times New Roman"/>
          <w:szCs w:val="17"/>
        </w:rPr>
      </w:pPr>
      <w:r w:rsidRPr="00262083">
        <w:rPr>
          <w:rFonts w:eastAsia="Times New Roman"/>
          <w:szCs w:val="17"/>
        </w:rPr>
        <w:t>•</w:t>
      </w:r>
      <w:r w:rsidRPr="00262083">
        <w:rPr>
          <w:rFonts w:eastAsia="Times New Roman"/>
          <w:szCs w:val="17"/>
        </w:rPr>
        <w:tab/>
        <w:t xml:space="preserve">Millicent Aerodrome—Crown Land (CLMP No. 12) </w:t>
      </w:r>
    </w:p>
    <w:p w14:paraId="59AB7329" w14:textId="77777777" w:rsidR="00262083" w:rsidRPr="00262083" w:rsidRDefault="00262083" w:rsidP="00262083">
      <w:pPr>
        <w:rPr>
          <w:rFonts w:eastAsia="Times New Roman"/>
          <w:szCs w:val="17"/>
        </w:rPr>
      </w:pPr>
      <w:r w:rsidRPr="00262083">
        <w:rPr>
          <w:rFonts w:eastAsia="Times New Roman"/>
          <w:szCs w:val="17"/>
        </w:rPr>
        <w:t xml:space="preserve">Copies of the Community Land Management Plans can be viewed by visiting Council’s website, </w:t>
      </w:r>
      <w:hyperlink r:id="rId27" w:history="1">
        <w:r w:rsidRPr="00262083">
          <w:rPr>
            <w:rFonts w:eastAsia="Times New Roman"/>
            <w:color w:val="0000FF"/>
            <w:szCs w:val="17"/>
            <w:u w:val="single"/>
          </w:rPr>
          <w:t>www.wattlerange.sa.gov.au</w:t>
        </w:r>
      </w:hyperlink>
    </w:p>
    <w:p w14:paraId="216DDA6A" w14:textId="77777777" w:rsidR="00262083" w:rsidRPr="00262083" w:rsidRDefault="00262083" w:rsidP="00262083">
      <w:pPr>
        <w:spacing w:after="0"/>
        <w:rPr>
          <w:rFonts w:eastAsia="Times New Roman"/>
          <w:szCs w:val="17"/>
        </w:rPr>
      </w:pPr>
      <w:r w:rsidRPr="00262083">
        <w:rPr>
          <w:rFonts w:eastAsia="Times New Roman"/>
          <w:szCs w:val="17"/>
        </w:rPr>
        <w:t xml:space="preserve">Dated: 27 </w:t>
      </w:r>
      <w:proofErr w:type="spellStart"/>
      <w:r w:rsidRPr="00262083">
        <w:rPr>
          <w:rFonts w:eastAsia="Times New Roman"/>
          <w:szCs w:val="17"/>
        </w:rPr>
        <w:t>Febraury</w:t>
      </w:r>
      <w:proofErr w:type="spellEnd"/>
      <w:r w:rsidRPr="00262083">
        <w:rPr>
          <w:rFonts w:eastAsia="Times New Roman"/>
          <w:szCs w:val="17"/>
        </w:rPr>
        <w:t xml:space="preserve"> 2025</w:t>
      </w:r>
    </w:p>
    <w:p w14:paraId="0E60EB47" w14:textId="77777777" w:rsidR="00262083" w:rsidRPr="00262083" w:rsidRDefault="00262083" w:rsidP="00262083">
      <w:pPr>
        <w:spacing w:after="0"/>
        <w:jc w:val="right"/>
        <w:rPr>
          <w:rFonts w:eastAsia="Times New Roman"/>
          <w:smallCaps/>
          <w:szCs w:val="20"/>
        </w:rPr>
      </w:pPr>
      <w:r w:rsidRPr="00262083">
        <w:rPr>
          <w:rFonts w:eastAsia="Times New Roman"/>
          <w:smallCaps/>
          <w:szCs w:val="20"/>
        </w:rPr>
        <w:t>Ben Gower</w:t>
      </w:r>
    </w:p>
    <w:p w14:paraId="372EC34F" w14:textId="77777777" w:rsidR="00262083" w:rsidRDefault="00262083" w:rsidP="00262083">
      <w:pPr>
        <w:spacing w:after="0"/>
        <w:jc w:val="right"/>
        <w:rPr>
          <w:rFonts w:eastAsia="Times New Roman"/>
          <w:szCs w:val="17"/>
          <w:lang w:val="en-US"/>
        </w:rPr>
      </w:pPr>
      <w:r w:rsidRPr="00262083">
        <w:rPr>
          <w:rFonts w:eastAsia="Times New Roman"/>
          <w:szCs w:val="17"/>
          <w:lang w:val="en-US"/>
        </w:rPr>
        <w:t>Chief Executive Officer</w:t>
      </w:r>
    </w:p>
    <w:p w14:paraId="284541C0" w14:textId="77777777" w:rsidR="00262083" w:rsidRDefault="00262083" w:rsidP="00262083">
      <w:pPr>
        <w:pBdr>
          <w:bottom w:val="single" w:sz="4" w:space="1" w:color="auto"/>
        </w:pBdr>
        <w:spacing w:after="0" w:line="52" w:lineRule="exact"/>
        <w:jc w:val="center"/>
        <w:rPr>
          <w:rFonts w:eastAsia="Times New Roman"/>
          <w:szCs w:val="17"/>
          <w:lang w:val="en-US"/>
        </w:rPr>
      </w:pPr>
    </w:p>
    <w:p w14:paraId="6311575B" w14:textId="77777777" w:rsidR="00262083" w:rsidRDefault="00262083" w:rsidP="00262083">
      <w:pPr>
        <w:pBdr>
          <w:top w:val="single" w:sz="4" w:space="1" w:color="auto"/>
        </w:pBdr>
        <w:spacing w:before="34" w:after="0" w:line="14" w:lineRule="exact"/>
        <w:jc w:val="center"/>
        <w:rPr>
          <w:rFonts w:eastAsia="Times New Roman"/>
          <w:szCs w:val="17"/>
          <w:lang w:val="en-US"/>
        </w:rPr>
      </w:pPr>
    </w:p>
    <w:p w14:paraId="19893378" w14:textId="77777777" w:rsidR="00E23F75" w:rsidRDefault="00E23F75">
      <w:pPr>
        <w:spacing w:after="0" w:line="240" w:lineRule="auto"/>
        <w:jc w:val="left"/>
        <w:rPr>
          <w:rFonts w:eastAsia="Times New Roman"/>
          <w:szCs w:val="17"/>
          <w:lang w:val="en-US"/>
        </w:rPr>
      </w:pPr>
      <w:r>
        <w:rPr>
          <w:lang w:val="en-US"/>
        </w:rPr>
        <w:br w:type="page"/>
      </w:r>
    </w:p>
    <w:p w14:paraId="3F8839AB" w14:textId="77777777" w:rsidR="009D1E2E" w:rsidRPr="009D1E2E" w:rsidRDefault="009D1E2E" w:rsidP="0043001F">
      <w:pPr>
        <w:pStyle w:val="Heading1"/>
      </w:pPr>
      <w:bookmarkStart w:id="73" w:name="_Toc33707984"/>
      <w:bookmarkStart w:id="74" w:name="_Toc33708155"/>
      <w:bookmarkStart w:id="75" w:name="_Toc191542995"/>
      <w:r>
        <w:lastRenderedPageBreak/>
        <w:t>Public Notices</w:t>
      </w:r>
      <w:bookmarkEnd w:id="73"/>
      <w:bookmarkEnd w:id="74"/>
      <w:bookmarkEnd w:id="75"/>
    </w:p>
    <w:p w14:paraId="3942FC02" w14:textId="5007AAE3" w:rsidR="00D2349A" w:rsidRPr="00D2349A" w:rsidRDefault="007004B5" w:rsidP="007004B5">
      <w:pPr>
        <w:pStyle w:val="Heading2"/>
      </w:pPr>
      <w:bookmarkStart w:id="76" w:name="_Toc191542996"/>
      <w:r w:rsidRPr="00D2349A">
        <w:t>Trustee Act 1936</w:t>
      </w:r>
      <w:bookmarkEnd w:id="76"/>
    </w:p>
    <w:p w14:paraId="59CAAA2C" w14:textId="77777777" w:rsidR="00D2349A" w:rsidRPr="00D2349A" w:rsidRDefault="00D2349A" w:rsidP="00D2349A">
      <w:pPr>
        <w:jc w:val="center"/>
        <w:rPr>
          <w:smallCaps/>
          <w:szCs w:val="17"/>
        </w:rPr>
      </w:pPr>
      <w:r w:rsidRPr="00D2349A">
        <w:rPr>
          <w:smallCaps/>
          <w:szCs w:val="17"/>
        </w:rPr>
        <w:t>Public Trustee</w:t>
      </w:r>
    </w:p>
    <w:p w14:paraId="4EEF44D5" w14:textId="77777777" w:rsidR="00D2349A" w:rsidRPr="00D2349A" w:rsidRDefault="00D2349A" w:rsidP="00D2349A">
      <w:pPr>
        <w:jc w:val="center"/>
        <w:rPr>
          <w:i/>
          <w:szCs w:val="17"/>
        </w:rPr>
      </w:pPr>
      <w:r w:rsidRPr="00D2349A">
        <w:rPr>
          <w:i/>
          <w:szCs w:val="17"/>
        </w:rPr>
        <w:t>Estates of Deceased Persons</w:t>
      </w:r>
    </w:p>
    <w:p w14:paraId="4C3079F7" w14:textId="77777777" w:rsidR="00D2349A" w:rsidRPr="00D2349A" w:rsidRDefault="00D2349A" w:rsidP="00D2349A">
      <w:pPr>
        <w:rPr>
          <w:rFonts w:eastAsia="Times New Roman"/>
          <w:szCs w:val="17"/>
        </w:rPr>
      </w:pPr>
      <w:r w:rsidRPr="00D2349A">
        <w:rPr>
          <w:rFonts w:eastAsia="Times New Roman"/>
          <w:szCs w:val="17"/>
        </w:rPr>
        <w:t>In the matter of the estates of the undermentioned deceased persons:</w:t>
      </w:r>
    </w:p>
    <w:p w14:paraId="7AC3E9B8" w14:textId="77777777" w:rsidR="00D2349A" w:rsidRPr="00D2349A" w:rsidRDefault="00D2349A" w:rsidP="00D2349A">
      <w:pPr>
        <w:spacing w:after="0"/>
        <w:ind w:left="142"/>
        <w:rPr>
          <w:rFonts w:eastAsia="Times New Roman"/>
          <w:szCs w:val="17"/>
        </w:rPr>
      </w:pPr>
      <w:r w:rsidRPr="00D2349A">
        <w:rPr>
          <w:rFonts w:eastAsia="Times New Roman"/>
          <w:szCs w:val="17"/>
        </w:rPr>
        <w:t>BLACK John Peter late of 2A Severn Street Cumberland Park Retired Social Worker who died on or about 1 January 2024</w:t>
      </w:r>
    </w:p>
    <w:p w14:paraId="48EA34C0" w14:textId="77777777" w:rsidR="00D2349A" w:rsidRPr="00D2349A" w:rsidRDefault="00D2349A" w:rsidP="00D2349A">
      <w:pPr>
        <w:spacing w:after="0"/>
        <w:ind w:left="142"/>
        <w:rPr>
          <w:rFonts w:eastAsia="Times New Roman"/>
          <w:szCs w:val="17"/>
        </w:rPr>
      </w:pPr>
      <w:r w:rsidRPr="00D2349A">
        <w:rPr>
          <w:rFonts w:eastAsia="Times New Roman"/>
          <w:szCs w:val="17"/>
        </w:rPr>
        <w:t>DEAN Edith Louisa late of 319 Maribyrnong Avenue Kaleen ACT of no occupation who died 9 July 2024</w:t>
      </w:r>
    </w:p>
    <w:p w14:paraId="5BF67BCC" w14:textId="77777777" w:rsidR="00D2349A" w:rsidRPr="00D2349A" w:rsidRDefault="00D2349A" w:rsidP="00D2349A">
      <w:pPr>
        <w:spacing w:after="0"/>
        <w:ind w:left="142"/>
        <w:rPr>
          <w:rFonts w:eastAsia="Times New Roman"/>
          <w:szCs w:val="17"/>
        </w:rPr>
      </w:pPr>
      <w:r w:rsidRPr="00D2349A">
        <w:rPr>
          <w:rFonts w:eastAsia="Times New Roman"/>
          <w:szCs w:val="17"/>
        </w:rPr>
        <w:t>JONES Roy late of 7 Salisbury Highway Salisbury Painter and decorator who died 14 October 2024</w:t>
      </w:r>
    </w:p>
    <w:p w14:paraId="19F816FB" w14:textId="77777777" w:rsidR="00D2349A" w:rsidRPr="00D2349A" w:rsidRDefault="00D2349A" w:rsidP="00D2349A">
      <w:pPr>
        <w:spacing w:after="0"/>
        <w:ind w:left="142"/>
        <w:rPr>
          <w:rFonts w:eastAsia="Times New Roman"/>
          <w:szCs w:val="17"/>
        </w:rPr>
      </w:pPr>
      <w:r w:rsidRPr="00D2349A">
        <w:rPr>
          <w:rFonts w:eastAsia="Times New Roman"/>
          <w:szCs w:val="17"/>
        </w:rPr>
        <w:t>KIRVAN Leon Robert late of 25 Flinders Road Hillcrest of no occupation who died 10 November 2024</w:t>
      </w:r>
    </w:p>
    <w:p w14:paraId="5D9654CD" w14:textId="77777777" w:rsidR="00D2349A" w:rsidRPr="00D2349A" w:rsidRDefault="00D2349A" w:rsidP="00D2349A">
      <w:pPr>
        <w:spacing w:after="0"/>
        <w:ind w:left="142"/>
        <w:rPr>
          <w:rFonts w:eastAsia="Times New Roman"/>
          <w:szCs w:val="17"/>
        </w:rPr>
      </w:pPr>
      <w:r w:rsidRPr="00D2349A">
        <w:rPr>
          <w:rFonts w:eastAsia="Times New Roman"/>
          <w:szCs w:val="17"/>
        </w:rPr>
        <w:t>KNIGHT Jean Winifred late of 28C King George Avenue Hove retired surgeon secretary who died 26 September 2024</w:t>
      </w:r>
    </w:p>
    <w:p w14:paraId="6B403076" w14:textId="77777777" w:rsidR="00D2349A" w:rsidRPr="00D2349A" w:rsidRDefault="00D2349A" w:rsidP="00D2349A">
      <w:pPr>
        <w:spacing w:after="0"/>
        <w:ind w:left="142"/>
        <w:rPr>
          <w:rFonts w:eastAsia="Times New Roman"/>
          <w:szCs w:val="17"/>
        </w:rPr>
      </w:pPr>
      <w:r w:rsidRPr="00D2349A">
        <w:rPr>
          <w:rFonts w:eastAsia="Times New Roman"/>
          <w:szCs w:val="17"/>
        </w:rPr>
        <w:t>LUIBY Mira late of 1 Charles Street West Lakes of no occupation who died 24 July 2024</w:t>
      </w:r>
    </w:p>
    <w:p w14:paraId="188FFF9A" w14:textId="77777777" w:rsidR="00D2349A" w:rsidRPr="00D2349A" w:rsidRDefault="00D2349A" w:rsidP="00D2349A">
      <w:pPr>
        <w:spacing w:after="0"/>
        <w:ind w:left="142"/>
        <w:rPr>
          <w:rFonts w:eastAsia="Times New Roman"/>
          <w:szCs w:val="17"/>
        </w:rPr>
      </w:pPr>
      <w:r w:rsidRPr="00D2349A">
        <w:rPr>
          <w:rFonts w:eastAsia="Times New Roman"/>
          <w:szCs w:val="17"/>
        </w:rPr>
        <w:t>LYNCH Shane Anthony late of 2 Abbey Road Mitchell Park Adelaide City Council Line Marker who died 7 September 2024</w:t>
      </w:r>
    </w:p>
    <w:p w14:paraId="674D7D9A" w14:textId="77777777" w:rsidR="00D2349A" w:rsidRPr="00D2349A" w:rsidRDefault="00D2349A" w:rsidP="00D2349A">
      <w:pPr>
        <w:spacing w:after="0"/>
        <w:ind w:left="142"/>
        <w:rPr>
          <w:rFonts w:eastAsia="Times New Roman"/>
          <w:szCs w:val="17"/>
        </w:rPr>
      </w:pPr>
      <w:r w:rsidRPr="00D2349A">
        <w:rPr>
          <w:rFonts w:eastAsia="Times New Roman"/>
          <w:szCs w:val="17"/>
        </w:rPr>
        <w:t>MARETT James Peter late of 20 Johnson Street Port Augusta Machine operator who died on or about 17 August 2022</w:t>
      </w:r>
    </w:p>
    <w:p w14:paraId="22D861CD" w14:textId="77777777" w:rsidR="00D2349A" w:rsidRPr="00D2349A" w:rsidRDefault="00D2349A" w:rsidP="00D2349A">
      <w:pPr>
        <w:spacing w:after="0"/>
        <w:ind w:left="142"/>
        <w:rPr>
          <w:rFonts w:eastAsia="Times New Roman"/>
          <w:szCs w:val="17"/>
        </w:rPr>
      </w:pPr>
      <w:r w:rsidRPr="00D2349A">
        <w:rPr>
          <w:rFonts w:eastAsia="Times New Roman"/>
          <w:szCs w:val="17"/>
        </w:rPr>
        <w:t>MONTAGUE Gordon Raymond late of 54-58 Broadway Glenelg South of no occupation who died 26 November 2023</w:t>
      </w:r>
    </w:p>
    <w:p w14:paraId="622CBBAE" w14:textId="77777777" w:rsidR="00D2349A" w:rsidRPr="00D2349A" w:rsidRDefault="00D2349A" w:rsidP="00D2349A">
      <w:pPr>
        <w:spacing w:after="0"/>
        <w:ind w:left="142"/>
        <w:rPr>
          <w:rFonts w:eastAsia="Times New Roman"/>
          <w:szCs w:val="17"/>
        </w:rPr>
      </w:pPr>
      <w:r w:rsidRPr="00D2349A">
        <w:rPr>
          <w:rFonts w:eastAsia="Times New Roman"/>
          <w:szCs w:val="17"/>
        </w:rPr>
        <w:t xml:space="preserve">MUNRO Joyce Ellen Margaret late of 16-24 </w:t>
      </w:r>
      <w:proofErr w:type="spellStart"/>
      <w:r w:rsidRPr="00D2349A">
        <w:rPr>
          <w:rFonts w:eastAsia="Times New Roman"/>
          <w:szCs w:val="17"/>
        </w:rPr>
        <w:t>Penneys</w:t>
      </w:r>
      <w:proofErr w:type="spellEnd"/>
      <w:r w:rsidRPr="00D2349A">
        <w:rPr>
          <w:rFonts w:eastAsia="Times New Roman"/>
          <w:szCs w:val="17"/>
        </w:rPr>
        <w:t xml:space="preserve"> Hill Road Hackham Retired Secretary who died 28 June 2024</w:t>
      </w:r>
    </w:p>
    <w:p w14:paraId="6928E39E" w14:textId="77777777" w:rsidR="00D2349A" w:rsidRPr="00D2349A" w:rsidRDefault="00D2349A" w:rsidP="00D2349A">
      <w:pPr>
        <w:spacing w:after="0"/>
        <w:ind w:left="142"/>
        <w:rPr>
          <w:rFonts w:eastAsia="Times New Roman"/>
          <w:szCs w:val="17"/>
        </w:rPr>
      </w:pPr>
      <w:r w:rsidRPr="00D2349A">
        <w:rPr>
          <w:rFonts w:eastAsia="Times New Roman"/>
          <w:szCs w:val="17"/>
        </w:rPr>
        <w:t>NOLAN Florence late of 2A War Memorial Drive Balaklava of no occupation who died 5 December 2023</w:t>
      </w:r>
    </w:p>
    <w:p w14:paraId="60B10355" w14:textId="77777777" w:rsidR="00D2349A" w:rsidRPr="00D2349A" w:rsidRDefault="00D2349A" w:rsidP="00D2349A">
      <w:pPr>
        <w:spacing w:after="0"/>
        <w:ind w:left="142"/>
        <w:rPr>
          <w:rFonts w:eastAsia="Times New Roman"/>
          <w:szCs w:val="17"/>
        </w:rPr>
      </w:pPr>
      <w:r w:rsidRPr="00D2349A">
        <w:rPr>
          <w:rFonts w:eastAsia="Times New Roman"/>
          <w:szCs w:val="17"/>
        </w:rPr>
        <w:t>O’NEIL Christopher late of 19 Cornhill Road Victor Harbor Retired Army Soldier who died 21 August 2024</w:t>
      </w:r>
    </w:p>
    <w:p w14:paraId="01D9B30B" w14:textId="77777777" w:rsidR="00D2349A" w:rsidRPr="00D2349A" w:rsidRDefault="00D2349A" w:rsidP="00D2349A">
      <w:pPr>
        <w:spacing w:after="0"/>
        <w:ind w:left="142"/>
        <w:rPr>
          <w:rFonts w:eastAsia="Times New Roman"/>
          <w:spacing w:val="-6"/>
          <w:szCs w:val="17"/>
        </w:rPr>
      </w:pPr>
      <w:r w:rsidRPr="00D2349A">
        <w:rPr>
          <w:rFonts w:eastAsia="Times New Roman"/>
          <w:spacing w:val="-6"/>
          <w:szCs w:val="17"/>
        </w:rPr>
        <w:t>ORLOWSKI Edward otherwise ORLOWSKI Edward Boleslaw late of Lot 109 The Glen Harrogate of no occupation who died 15 September 2024</w:t>
      </w:r>
    </w:p>
    <w:p w14:paraId="17B65456" w14:textId="77777777" w:rsidR="00D2349A" w:rsidRPr="00D2349A" w:rsidRDefault="00D2349A" w:rsidP="00D2349A">
      <w:pPr>
        <w:spacing w:after="0"/>
        <w:ind w:left="142"/>
        <w:rPr>
          <w:rFonts w:eastAsia="Times New Roman"/>
          <w:szCs w:val="17"/>
        </w:rPr>
      </w:pPr>
      <w:r w:rsidRPr="00D2349A">
        <w:rPr>
          <w:rFonts w:eastAsia="Times New Roman"/>
          <w:szCs w:val="17"/>
        </w:rPr>
        <w:t>PAGE Barry late of 68 Price Maurice Road Orroroo Retired Glass Works Employee who died 25 September 2024</w:t>
      </w:r>
    </w:p>
    <w:p w14:paraId="48CE2895" w14:textId="77777777" w:rsidR="00D2349A" w:rsidRPr="00D2349A" w:rsidRDefault="00D2349A" w:rsidP="00D2349A">
      <w:pPr>
        <w:spacing w:after="0"/>
        <w:ind w:left="142"/>
        <w:rPr>
          <w:rFonts w:eastAsia="Times New Roman"/>
          <w:szCs w:val="17"/>
        </w:rPr>
      </w:pPr>
      <w:r w:rsidRPr="00D2349A">
        <w:rPr>
          <w:rFonts w:eastAsia="Times New Roman"/>
          <w:szCs w:val="17"/>
        </w:rPr>
        <w:t>PATERSON Lilian Christina Jane late of 26-28 River Road Port Noarlunga of no occupation who died 13 November 2024</w:t>
      </w:r>
    </w:p>
    <w:p w14:paraId="27F7B598" w14:textId="77777777" w:rsidR="00D2349A" w:rsidRPr="00D2349A" w:rsidRDefault="00D2349A" w:rsidP="00D2349A">
      <w:pPr>
        <w:spacing w:after="0"/>
        <w:ind w:left="142"/>
        <w:rPr>
          <w:rFonts w:eastAsia="Times New Roman"/>
          <w:szCs w:val="17"/>
        </w:rPr>
      </w:pPr>
      <w:r w:rsidRPr="00D2349A">
        <w:rPr>
          <w:rFonts w:eastAsia="Times New Roman"/>
          <w:szCs w:val="17"/>
        </w:rPr>
        <w:t xml:space="preserve">SCHOKMAN David Russell late of 7 </w:t>
      </w:r>
      <w:proofErr w:type="spellStart"/>
      <w:r w:rsidRPr="00D2349A">
        <w:rPr>
          <w:rFonts w:eastAsia="Times New Roman"/>
          <w:szCs w:val="17"/>
        </w:rPr>
        <w:t>Marienberg</w:t>
      </w:r>
      <w:proofErr w:type="spellEnd"/>
      <w:r w:rsidRPr="00D2349A">
        <w:rPr>
          <w:rFonts w:eastAsia="Times New Roman"/>
          <w:szCs w:val="17"/>
        </w:rPr>
        <w:t xml:space="preserve"> Rise Aberfoyle Park Retired Public Servant/Storeman who died 7 September 2024</w:t>
      </w:r>
    </w:p>
    <w:p w14:paraId="64FE5D69" w14:textId="77777777" w:rsidR="00D2349A" w:rsidRPr="00D2349A" w:rsidRDefault="00D2349A" w:rsidP="00D2349A">
      <w:pPr>
        <w:ind w:left="142"/>
        <w:rPr>
          <w:rFonts w:eastAsia="Times New Roman"/>
          <w:szCs w:val="17"/>
        </w:rPr>
      </w:pPr>
      <w:r w:rsidRPr="00D2349A">
        <w:rPr>
          <w:rFonts w:eastAsia="Times New Roman"/>
          <w:szCs w:val="17"/>
        </w:rPr>
        <w:t>TASSIE Dorothy Janet late of 19 Aldersey Street McLaren Vale Retired school teacher who died 14 August 2020</w:t>
      </w:r>
    </w:p>
    <w:p w14:paraId="0D527325" w14:textId="77777777" w:rsidR="00D2349A" w:rsidRPr="00D2349A" w:rsidRDefault="00D2349A" w:rsidP="00D2349A">
      <w:pPr>
        <w:rPr>
          <w:rFonts w:eastAsia="Times New Roman"/>
          <w:szCs w:val="17"/>
        </w:rPr>
      </w:pPr>
      <w:r w:rsidRPr="00D2349A">
        <w:rPr>
          <w:rFonts w:eastAsia="Times New Roman"/>
          <w:szCs w:val="17"/>
        </w:rPr>
        <w:t xml:space="preserve">Notice is hereby given pursuant to the </w:t>
      </w:r>
      <w:r w:rsidRPr="00D2349A">
        <w:rPr>
          <w:rFonts w:eastAsia="Times New Roman"/>
          <w:i/>
          <w:iCs/>
          <w:szCs w:val="17"/>
        </w:rPr>
        <w:t>Trustee Act 1936</w:t>
      </w:r>
      <w:r w:rsidRPr="00D2349A">
        <w:rPr>
          <w:rFonts w:eastAsia="Times New Roman"/>
          <w:szCs w:val="17"/>
        </w:rPr>
        <w:t xml:space="preserve"> (SA), the </w:t>
      </w:r>
      <w:r w:rsidRPr="00D2349A">
        <w:rPr>
          <w:rFonts w:eastAsia="Times New Roman"/>
          <w:i/>
          <w:iCs/>
          <w:szCs w:val="17"/>
        </w:rPr>
        <w:t>Succession Act 2023</w:t>
      </w:r>
      <w:r w:rsidRPr="00D2349A">
        <w:rPr>
          <w:rFonts w:eastAsia="Times New Roman"/>
          <w:szCs w:val="17"/>
        </w:rPr>
        <w:t xml:space="preserve"> (SA) and the </w:t>
      </w:r>
      <w:r w:rsidRPr="00D2349A">
        <w:rPr>
          <w:rFonts w:eastAsia="Times New Roman"/>
          <w:i/>
          <w:iCs/>
          <w:szCs w:val="17"/>
        </w:rPr>
        <w:t>Family Relationships Act 1975</w:t>
      </w:r>
      <w:r w:rsidRPr="00D2349A">
        <w:rPr>
          <w:rFonts w:eastAsia="Times New Roman"/>
          <w:szCs w:val="17"/>
        </w:rPr>
        <w:t xml:space="preserve"> (SA) that all creditors, beneficiaries, and other persons having claims against the said estates are required to send, in writing, to the office of Public Trustee at GPO Box 1338, Adelaide 5001, full particulars and proof of such claims, on or before the 28 March 2025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2F17F86E" w14:textId="77777777" w:rsidR="00D2349A" w:rsidRPr="00D2349A" w:rsidRDefault="00D2349A" w:rsidP="00D2349A">
      <w:pPr>
        <w:spacing w:after="0"/>
        <w:rPr>
          <w:rFonts w:eastAsia="Times New Roman"/>
          <w:szCs w:val="17"/>
        </w:rPr>
      </w:pPr>
      <w:r w:rsidRPr="00D2349A">
        <w:rPr>
          <w:rFonts w:eastAsia="Times New Roman"/>
          <w:szCs w:val="17"/>
        </w:rPr>
        <w:t>Dated: 27 February 2025</w:t>
      </w:r>
    </w:p>
    <w:p w14:paraId="45A27152" w14:textId="77777777" w:rsidR="00D2349A" w:rsidRPr="00D2349A" w:rsidRDefault="00D2349A" w:rsidP="00D2349A">
      <w:pPr>
        <w:spacing w:after="0"/>
        <w:jc w:val="right"/>
        <w:rPr>
          <w:rFonts w:eastAsia="Times New Roman"/>
          <w:szCs w:val="17"/>
        </w:rPr>
      </w:pPr>
      <w:r w:rsidRPr="00D2349A">
        <w:rPr>
          <w:rFonts w:eastAsia="Times New Roman"/>
          <w:smallCaps/>
          <w:szCs w:val="20"/>
        </w:rPr>
        <w:t>T. Brumfield</w:t>
      </w:r>
    </w:p>
    <w:p w14:paraId="03E23D12" w14:textId="77777777" w:rsidR="00D2349A" w:rsidRPr="00D2349A" w:rsidRDefault="00D2349A" w:rsidP="00D2349A">
      <w:pPr>
        <w:spacing w:after="0"/>
        <w:jc w:val="right"/>
        <w:rPr>
          <w:rFonts w:eastAsia="Times New Roman"/>
          <w:szCs w:val="17"/>
        </w:rPr>
      </w:pPr>
      <w:r w:rsidRPr="00D2349A">
        <w:rPr>
          <w:rFonts w:eastAsia="Times New Roman"/>
          <w:szCs w:val="17"/>
        </w:rPr>
        <w:t>Public Trustee</w:t>
      </w:r>
    </w:p>
    <w:p w14:paraId="194D8CB2" w14:textId="77777777" w:rsidR="00D2349A" w:rsidRPr="00D2349A" w:rsidRDefault="00D2349A" w:rsidP="00D2349A">
      <w:pPr>
        <w:pBdr>
          <w:bottom w:val="single" w:sz="4" w:space="1" w:color="auto"/>
        </w:pBdr>
        <w:spacing w:after="0" w:line="52" w:lineRule="exact"/>
        <w:jc w:val="center"/>
        <w:rPr>
          <w:rFonts w:eastAsia="Times New Roman"/>
          <w:szCs w:val="17"/>
        </w:rPr>
      </w:pPr>
    </w:p>
    <w:p w14:paraId="4F1B4222" w14:textId="77777777" w:rsidR="00D2349A" w:rsidRPr="00D2349A" w:rsidRDefault="00D2349A" w:rsidP="00D2349A">
      <w:pPr>
        <w:pBdr>
          <w:top w:val="single" w:sz="4" w:space="1" w:color="auto"/>
        </w:pBdr>
        <w:spacing w:before="34" w:after="0" w:line="14" w:lineRule="exact"/>
        <w:jc w:val="center"/>
        <w:rPr>
          <w:rFonts w:eastAsia="Times New Roman"/>
          <w:szCs w:val="17"/>
        </w:rPr>
      </w:pPr>
    </w:p>
    <w:p w14:paraId="63C4F867" w14:textId="77777777" w:rsidR="00D2349A" w:rsidRPr="00D2349A" w:rsidRDefault="00D2349A" w:rsidP="00D2349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68191C00" w14:textId="77777777" w:rsidR="009D1E2E" w:rsidRDefault="009D1E2E" w:rsidP="005335F1">
      <w:pPr>
        <w:pStyle w:val="GG-body"/>
        <w:rPr>
          <w:lang w:val="en-US"/>
        </w:rPr>
      </w:pPr>
    </w:p>
    <w:p w14:paraId="265425C3" w14:textId="77777777" w:rsidR="00CD586C" w:rsidRPr="00304833" w:rsidRDefault="00C965BF" w:rsidP="006C7E15">
      <w:pPr>
        <w:spacing w:after="0" w:line="240" w:lineRule="auto"/>
        <w:ind w:right="600"/>
        <w:rPr>
          <w:color w:val="000000"/>
          <w:sz w:val="20"/>
          <w:szCs w:val="20"/>
        </w:rPr>
      </w:pPr>
      <w:r>
        <w:rPr>
          <w:color w:val="000000"/>
          <w:spacing w:val="-4"/>
          <w:sz w:val="20"/>
          <w:szCs w:val="20"/>
        </w:rPr>
        <w:br w:type="page"/>
      </w:r>
    </w:p>
    <w:p w14:paraId="053963B0" w14:textId="77777777" w:rsidR="00EB5C72" w:rsidRPr="00576D3B" w:rsidRDefault="00EB5C72" w:rsidP="005335F1">
      <w:pPr>
        <w:spacing w:after="0" w:line="240" w:lineRule="auto"/>
        <w:ind w:left="600" w:right="600"/>
        <w:jc w:val="center"/>
        <w:rPr>
          <w:color w:val="000000"/>
          <w:sz w:val="20"/>
          <w:szCs w:val="20"/>
        </w:rPr>
      </w:pPr>
    </w:p>
    <w:p w14:paraId="05B2131C" w14:textId="77777777" w:rsidR="005C269C" w:rsidRDefault="005C269C" w:rsidP="005335F1">
      <w:pPr>
        <w:spacing w:after="0" w:line="240" w:lineRule="auto"/>
        <w:ind w:left="600" w:right="600"/>
        <w:jc w:val="center"/>
        <w:rPr>
          <w:color w:val="000000"/>
          <w:sz w:val="20"/>
          <w:szCs w:val="20"/>
        </w:rPr>
      </w:pPr>
    </w:p>
    <w:p w14:paraId="1B93C72E" w14:textId="77777777" w:rsidR="005C269C" w:rsidRPr="00576D3B" w:rsidRDefault="005C269C" w:rsidP="005335F1">
      <w:pPr>
        <w:spacing w:after="0" w:line="240" w:lineRule="auto"/>
        <w:ind w:left="600" w:right="600"/>
        <w:jc w:val="center"/>
        <w:rPr>
          <w:color w:val="000000"/>
          <w:sz w:val="20"/>
          <w:szCs w:val="20"/>
        </w:rPr>
      </w:pPr>
    </w:p>
    <w:p w14:paraId="0F4CF76C" w14:textId="77777777" w:rsidR="00EB5C72" w:rsidRDefault="00EB5C72" w:rsidP="005335F1">
      <w:pPr>
        <w:spacing w:after="0" w:line="240" w:lineRule="auto"/>
        <w:ind w:left="600" w:right="600"/>
        <w:jc w:val="center"/>
        <w:rPr>
          <w:color w:val="000000"/>
          <w:sz w:val="20"/>
          <w:szCs w:val="20"/>
        </w:rPr>
      </w:pPr>
    </w:p>
    <w:p w14:paraId="16BC9732" w14:textId="77777777" w:rsidR="00EB5C72" w:rsidRPr="00576D3B" w:rsidRDefault="00EB5C72" w:rsidP="005335F1">
      <w:pPr>
        <w:spacing w:after="0" w:line="240" w:lineRule="auto"/>
        <w:ind w:left="600" w:right="600"/>
        <w:jc w:val="center"/>
        <w:rPr>
          <w:color w:val="000000"/>
          <w:sz w:val="20"/>
          <w:szCs w:val="20"/>
        </w:rPr>
      </w:pPr>
    </w:p>
    <w:p w14:paraId="5C010C0A"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2F37C249" w14:textId="77777777" w:rsidR="00EB5C72" w:rsidRPr="00576D3B" w:rsidRDefault="00EB5C72" w:rsidP="005335F1">
      <w:pPr>
        <w:spacing w:after="0" w:line="240" w:lineRule="auto"/>
        <w:ind w:left="600" w:right="600"/>
        <w:jc w:val="center"/>
        <w:rPr>
          <w:color w:val="000000"/>
          <w:sz w:val="20"/>
          <w:szCs w:val="20"/>
        </w:rPr>
      </w:pPr>
    </w:p>
    <w:p w14:paraId="09253E85" w14:textId="77777777" w:rsidR="00EB5C72" w:rsidRDefault="00EB5C72" w:rsidP="005335F1">
      <w:pPr>
        <w:spacing w:after="0" w:line="240" w:lineRule="auto"/>
        <w:ind w:left="600" w:right="600"/>
        <w:jc w:val="center"/>
        <w:rPr>
          <w:color w:val="000000"/>
          <w:sz w:val="20"/>
          <w:szCs w:val="20"/>
        </w:rPr>
      </w:pPr>
    </w:p>
    <w:p w14:paraId="74DC192E" w14:textId="77777777" w:rsidR="00EB5C72" w:rsidRPr="00576D3B" w:rsidRDefault="00EB5C72" w:rsidP="005335F1">
      <w:pPr>
        <w:spacing w:after="0" w:line="240" w:lineRule="auto"/>
        <w:ind w:left="600" w:right="600"/>
        <w:jc w:val="center"/>
        <w:rPr>
          <w:color w:val="000000"/>
          <w:sz w:val="20"/>
          <w:szCs w:val="20"/>
        </w:rPr>
      </w:pPr>
    </w:p>
    <w:p w14:paraId="3ABEE1A3"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47E301A8"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6AC362E5"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64B5D55D"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2EC73963" w14:textId="77777777" w:rsidR="00EB5C72" w:rsidRPr="00576D3B" w:rsidRDefault="00EB5C72" w:rsidP="00AD0853">
      <w:pPr>
        <w:spacing w:after="0" w:line="240" w:lineRule="auto"/>
        <w:ind w:left="600" w:right="600"/>
        <w:jc w:val="center"/>
        <w:rPr>
          <w:color w:val="000000"/>
          <w:sz w:val="20"/>
          <w:szCs w:val="20"/>
        </w:rPr>
      </w:pPr>
    </w:p>
    <w:p w14:paraId="2BF15452" w14:textId="77777777" w:rsidR="00EB5C72" w:rsidRPr="00576D3B" w:rsidRDefault="00EB5C72" w:rsidP="00AD0853">
      <w:pPr>
        <w:spacing w:after="0" w:line="240" w:lineRule="auto"/>
        <w:ind w:left="600" w:right="600"/>
        <w:jc w:val="center"/>
        <w:rPr>
          <w:color w:val="000000"/>
          <w:sz w:val="20"/>
          <w:szCs w:val="20"/>
        </w:rPr>
      </w:pPr>
    </w:p>
    <w:p w14:paraId="643CA0F5" w14:textId="77777777" w:rsidR="00EB5C72" w:rsidRPr="00576D3B" w:rsidRDefault="00EB5C72" w:rsidP="00AD0853">
      <w:pPr>
        <w:spacing w:after="0" w:line="240" w:lineRule="auto"/>
        <w:ind w:left="600" w:right="600"/>
        <w:jc w:val="center"/>
        <w:rPr>
          <w:color w:val="000000"/>
          <w:sz w:val="20"/>
          <w:szCs w:val="20"/>
        </w:rPr>
      </w:pPr>
    </w:p>
    <w:p w14:paraId="04F7C8AD"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30DA3704"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3E7D67B3"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6C00104C"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597E1E62"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5660694C"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4BB45E54" w14:textId="77777777" w:rsidR="00EB5C72" w:rsidRPr="00576D3B" w:rsidRDefault="00EB5C72" w:rsidP="00AD0853">
      <w:pPr>
        <w:spacing w:after="0" w:line="240" w:lineRule="auto"/>
        <w:ind w:left="600" w:right="600"/>
        <w:jc w:val="center"/>
        <w:rPr>
          <w:color w:val="000000"/>
          <w:sz w:val="20"/>
          <w:szCs w:val="20"/>
        </w:rPr>
      </w:pPr>
    </w:p>
    <w:p w14:paraId="61938E8F" w14:textId="77777777" w:rsidR="00EB5C72" w:rsidRPr="00576D3B" w:rsidRDefault="00EB5C72" w:rsidP="00AD0853">
      <w:pPr>
        <w:spacing w:after="0" w:line="240" w:lineRule="auto"/>
        <w:ind w:left="600" w:right="600"/>
        <w:jc w:val="center"/>
        <w:rPr>
          <w:color w:val="000000"/>
          <w:sz w:val="20"/>
          <w:szCs w:val="20"/>
        </w:rPr>
      </w:pPr>
    </w:p>
    <w:p w14:paraId="74D1002D" w14:textId="77777777" w:rsidR="00EB5C72" w:rsidRPr="00576D3B" w:rsidRDefault="00EB5C72" w:rsidP="00AD0853">
      <w:pPr>
        <w:spacing w:after="0" w:line="240" w:lineRule="auto"/>
        <w:ind w:left="600" w:right="600"/>
        <w:jc w:val="center"/>
        <w:rPr>
          <w:color w:val="000000"/>
          <w:sz w:val="20"/>
          <w:szCs w:val="20"/>
        </w:rPr>
      </w:pPr>
    </w:p>
    <w:p w14:paraId="1100C4B3"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6586AE5D"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7ADC0D7C"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66FE36DF"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418BE759"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2F370F1C" w14:textId="77777777" w:rsidR="00EB5C72" w:rsidRPr="00576D3B" w:rsidRDefault="00EB5C72" w:rsidP="00AD0853">
      <w:pPr>
        <w:spacing w:after="0" w:line="240" w:lineRule="auto"/>
        <w:ind w:left="600" w:right="600"/>
        <w:jc w:val="center"/>
        <w:rPr>
          <w:color w:val="000000"/>
          <w:sz w:val="20"/>
          <w:szCs w:val="20"/>
        </w:rPr>
      </w:pPr>
    </w:p>
    <w:p w14:paraId="6E4B6D7A" w14:textId="77777777" w:rsidR="00EB5C72" w:rsidRPr="00576D3B" w:rsidRDefault="00EB5C72" w:rsidP="00AD0853">
      <w:pPr>
        <w:spacing w:after="0" w:line="240" w:lineRule="auto"/>
        <w:ind w:left="600" w:right="600"/>
        <w:jc w:val="center"/>
        <w:rPr>
          <w:color w:val="000000"/>
          <w:sz w:val="20"/>
          <w:szCs w:val="20"/>
        </w:rPr>
      </w:pPr>
    </w:p>
    <w:p w14:paraId="5EB3C606" w14:textId="77777777" w:rsidR="00EB5C72" w:rsidRPr="00576D3B" w:rsidRDefault="00EB5C72" w:rsidP="00AD0853">
      <w:pPr>
        <w:spacing w:after="0" w:line="240" w:lineRule="auto"/>
        <w:ind w:left="600" w:right="600"/>
        <w:jc w:val="center"/>
        <w:rPr>
          <w:color w:val="000000"/>
          <w:sz w:val="20"/>
          <w:szCs w:val="20"/>
        </w:rPr>
      </w:pPr>
    </w:p>
    <w:p w14:paraId="31C0B2D1"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28" w:history="1">
        <w:r w:rsidRPr="00576D3B">
          <w:rPr>
            <w:rFonts w:eastAsia="Times New Roman"/>
            <w:color w:val="0000FF"/>
            <w:sz w:val="24"/>
            <w:u w:val="single"/>
            <w:lang w:eastAsia="en-AU"/>
          </w:rPr>
          <w:t>governmentgazettesa@sa.gov.au</w:t>
        </w:r>
      </w:hyperlink>
    </w:p>
    <w:p w14:paraId="4898BF36"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BF69B7">
        <w:rPr>
          <w:smallCaps/>
          <w:color w:val="000000"/>
          <w:sz w:val="24"/>
        </w:rPr>
        <w:t>7133 3552</w:t>
      </w:r>
    </w:p>
    <w:p w14:paraId="26EC58CE"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29" w:history="1">
        <w:r w:rsidRPr="00576D3B">
          <w:rPr>
            <w:rFonts w:eastAsia="Times New Roman"/>
            <w:color w:val="0000FF"/>
            <w:sz w:val="24"/>
            <w:u w:val="single"/>
            <w:lang w:eastAsia="en-AU"/>
          </w:rPr>
          <w:t>www.governmentgazette.sa.gov.au</w:t>
        </w:r>
      </w:hyperlink>
    </w:p>
    <w:p w14:paraId="541796AD" w14:textId="77777777" w:rsidR="00EB5C72" w:rsidRPr="00576D3B" w:rsidRDefault="00EB5C72" w:rsidP="00AD0853">
      <w:pPr>
        <w:spacing w:after="0" w:line="240" w:lineRule="auto"/>
        <w:ind w:left="600" w:right="600"/>
        <w:jc w:val="center"/>
        <w:rPr>
          <w:color w:val="000000"/>
          <w:sz w:val="20"/>
          <w:szCs w:val="20"/>
        </w:rPr>
      </w:pPr>
    </w:p>
    <w:p w14:paraId="27FC3B66" w14:textId="77777777" w:rsidR="00EB5C72" w:rsidRPr="00576D3B" w:rsidRDefault="00EB5C72" w:rsidP="00AD0853">
      <w:pPr>
        <w:spacing w:after="0" w:line="240" w:lineRule="auto"/>
        <w:ind w:left="600" w:right="600"/>
        <w:jc w:val="center"/>
        <w:rPr>
          <w:color w:val="000000"/>
          <w:sz w:val="20"/>
          <w:szCs w:val="20"/>
        </w:rPr>
      </w:pPr>
    </w:p>
    <w:p w14:paraId="127F75A6" w14:textId="77777777" w:rsidR="00EB5C72" w:rsidRPr="00576D3B" w:rsidRDefault="00EB5C72" w:rsidP="00AD0853">
      <w:pPr>
        <w:spacing w:after="0" w:line="240" w:lineRule="auto"/>
        <w:ind w:left="600" w:right="600"/>
        <w:jc w:val="center"/>
        <w:rPr>
          <w:color w:val="000000"/>
          <w:sz w:val="20"/>
          <w:szCs w:val="20"/>
        </w:rPr>
      </w:pPr>
    </w:p>
    <w:p w14:paraId="3ED1209F" w14:textId="77777777" w:rsidR="00EB5C72" w:rsidRPr="00576D3B" w:rsidRDefault="00EB5C72" w:rsidP="00AD0853">
      <w:pPr>
        <w:spacing w:after="0" w:line="240" w:lineRule="auto"/>
        <w:ind w:left="600" w:right="600"/>
        <w:jc w:val="center"/>
        <w:rPr>
          <w:color w:val="000000"/>
          <w:sz w:val="20"/>
          <w:szCs w:val="20"/>
        </w:rPr>
      </w:pPr>
    </w:p>
    <w:p w14:paraId="77DD39E4" w14:textId="77777777" w:rsidR="00EB5C72" w:rsidRDefault="00EB5C72" w:rsidP="00AD0853">
      <w:pPr>
        <w:spacing w:after="0" w:line="240" w:lineRule="auto"/>
        <w:ind w:left="600" w:right="600"/>
        <w:jc w:val="center"/>
        <w:rPr>
          <w:color w:val="000000"/>
          <w:sz w:val="20"/>
          <w:szCs w:val="20"/>
        </w:rPr>
      </w:pPr>
    </w:p>
    <w:p w14:paraId="7D02E0A0" w14:textId="77777777" w:rsidR="00EB5C72" w:rsidRDefault="00EB5C72" w:rsidP="00AD0853">
      <w:pPr>
        <w:spacing w:after="0" w:line="240" w:lineRule="auto"/>
        <w:ind w:left="600" w:right="600"/>
        <w:jc w:val="center"/>
        <w:rPr>
          <w:color w:val="000000"/>
          <w:sz w:val="20"/>
          <w:szCs w:val="20"/>
        </w:rPr>
      </w:pPr>
    </w:p>
    <w:p w14:paraId="7270639E" w14:textId="77777777" w:rsidR="00EB5C72" w:rsidRDefault="00EB5C72" w:rsidP="00AD0853">
      <w:pPr>
        <w:spacing w:after="0" w:line="240" w:lineRule="auto"/>
        <w:ind w:left="600" w:right="600"/>
        <w:jc w:val="center"/>
        <w:rPr>
          <w:color w:val="000000"/>
          <w:sz w:val="20"/>
          <w:szCs w:val="20"/>
        </w:rPr>
      </w:pPr>
    </w:p>
    <w:p w14:paraId="5CAA8A39" w14:textId="77777777" w:rsidR="00EB5C72" w:rsidRDefault="00EB5C72" w:rsidP="00AD0853">
      <w:pPr>
        <w:spacing w:after="0" w:line="240" w:lineRule="auto"/>
        <w:ind w:left="600" w:right="600"/>
        <w:jc w:val="center"/>
        <w:rPr>
          <w:color w:val="000000"/>
          <w:sz w:val="20"/>
          <w:szCs w:val="20"/>
        </w:rPr>
      </w:pPr>
    </w:p>
    <w:p w14:paraId="1585A738" w14:textId="77777777" w:rsidR="000163A9" w:rsidRPr="00144772" w:rsidRDefault="000163A9" w:rsidP="000163A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436CC225" w14:textId="77777777" w:rsidR="000163A9" w:rsidRPr="00144772" w:rsidRDefault="000163A9" w:rsidP="000163A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3E60E520" w14:textId="77777777" w:rsidR="000163A9" w:rsidRPr="00777F88" w:rsidRDefault="000163A9" w:rsidP="00A71F02">
      <w:pPr>
        <w:pStyle w:val="Footer"/>
        <w:spacing w:before="120" w:line="170" w:lineRule="exact"/>
        <w:jc w:val="center"/>
        <w:rPr>
          <w:szCs w:val="17"/>
        </w:rPr>
      </w:pPr>
      <w:r w:rsidRPr="00777F88">
        <w:rPr>
          <w:szCs w:val="17"/>
        </w:rPr>
        <w:t xml:space="preserve">Printed and published weekly by authority of </w:t>
      </w:r>
      <w:r>
        <w:rPr>
          <w:smallCaps/>
          <w:szCs w:val="17"/>
        </w:rPr>
        <w:t xml:space="preserve">T. </w:t>
      </w:r>
      <w:proofErr w:type="spellStart"/>
      <w:r>
        <w:rPr>
          <w:smallCaps/>
          <w:szCs w:val="17"/>
        </w:rPr>
        <w:t>Foresto</w:t>
      </w:r>
      <w:proofErr w:type="spellEnd"/>
      <w:r w:rsidRPr="00732A1E">
        <w:rPr>
          <w:szCs w:val="17"/>
        </w:rPr>
        <w:t xml:space="preserve">, </w:t>
      </w:r>
      <w:r w:rsidRPr="00B33677">
        <w:rPr>
          <w:szCs w:val="17"/>
        </w:rPr>
        <w:t>Government</w:t>
      </w:r>
      <w:r w:rsidRPr="00777F88">
        <w:rPr>
          <w:szCs w:val="17"/>
        </w:rPr>
        <w:t xml:space="preserve"> Printer, South Australia</w:t>
      </w:r>
    </w:p>
    <w:p w14:paraId="2642D4BE" w14:textId="77777777" w:rsidR="000163A9" w:rsidRPr="00777F88" w:rsidRDefault="000163A9" w:rsidP="000163A9">
      <w:pPr>
        <w:pStyle w:val="Footer"/>
        <w:spacing w:line="170" w:lineRule="exact"/>
        <w:jc w:val="center"/>
        <w:rPr>
          <w:szCs w:val="17"/>
        </w:rPr>
      </w:pPr>
      <w:r w:rsidRPr="000C7EA3">
        <w:rPr>
          <w:szCs w:val="17"/>
        </w:rPr>
        <w:t>$</w:t>
      </w:r>
      <w:r>
        <w:rPr>
          <w:szCs w:val="17"/>
        </w:rPr>
        <w:t>8.80</w:t>
      </w:r>
      <w:r w:rsidRPr="000C7EA3">
        <w:rPr>
          <w:szCs w:val="17"/>
        </w:rPr>
        <w:t xml:space="preserve"> per issue (plus postage), $</w:t>
      </w:r>
      <w:r>
        <w:rPr>
          <w:szCs w:val="17"/>
        </w:rPr>
        <w:t>443.00</w:t>
      </w:r>
      <w:r w:rsidRPr="000C7EA3">
        <w:rPr>
          <w:szCs w:val="17"/>
        </w:rPr>
        <w:t xml:space="preserve"> per annual subscription—GST inclusive</w:t>
      </w:r>
    </w:p>
    <w:p w14:paraId="6CE847E0" w14:textId="77777777" w:rsidR="000163A9" w:rsidRPr="00D0446B" w:rsidRDefault="000163A9" w:rsidP="000163A9">
      <w:pPr>
        <w:pStyle w:val="Footer"/>
        <w:spacing w:line="170" w:lineRule="exact"/>
        <w:jc w:val="center"/>
        <w:rPr>
          <w:szCs w:val="17"/>
        </w:rPr>
      </w:pPr>
      <w:r w:rsidRPr="00777F88">
        <w:rPr>
          <w:szCs w:val="17"/>
        </w:rPr>
        <w:t xml:space="preserve">Online publications: </w:t>
      </w:r>
      <w:hyperlink r:id="rId30" w:history="1">
        <w:r w:rsidRPr="000B6B42">
          <w:rPr>
            <w:rStyle w:val="Hyperlink"/>
            <w:szCs w:val="17"/>
          </w:rPr>
          <w:t>www.governmentgazette.sa.gov.au</w:t>
        </w:r>
      </w:hyperlink>
      <w:r>
        <w:rPr>
          <w:szCs w:val="17"/>
        </w:rPr>
        <w:t xml:space="preserve"> </w:t>
      </w:r>
    </w:p>
    <w:sectPr w:rsidR="000163A9" w:rsidRPr="00D0446B" w:rsidSect="007B1CFA">
      <w:headerReference w:type="even" r:id="rId31"/>
      <w:headerReference w:type="default" r:id="rId32"/>
      <w:pgSz w:w="11906" w:h="16838"/>
      <w:pgMar w:top="1673" w:right="1259" w:bottom="1276" w:left="1293" w:header="1134" w:footer="1134" w:gutter="0"/>
      <w:pgNumType w:start="22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1B606" w14:textId="77777777" w:rsidR="00081D36" w:rsidRDefault="00081D36" w:rsidP="00777F88">
      <w:pPr>
        <w:spacing w:after="0" w:line="240" w:lineRule="auto"/>
      </w:pPr>
      <w:r>
        <w:separator/>
      </w:r>
    </w:p>
  </w:endnote>
  <w:endnote w:type="continuationSeparator" w:id="0">
    <w:p w14:paraId="3483450D" w14:textId="77777777" w:rsidR="00081D36" w:rsidRDefault="00081D36"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3687"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A5ACF"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5BCA8B31"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044AC865" w14:textId="77777777" w:rsidR="005622AC" w:rsidRPr="00777F88" w:rsidRDefault="005622AC" w:rsidP="00A71F02">
    <w:pPr>
      <w:pStyle w:val="Footer"/>
      <w:spacing w:before="120" w:line="170" w:lineRule="exact"/>
      <w:jc w:val="center"/>
      <w:rPr>
        <w:szCs w:val="17"/>
      </w:rPr>
    </w:pPr>
    <w:r w:rsidRPr="00777F88">
      <w:rPr>
        <w:szCs w:val="17"/>
      </w:rPr>
      <w:t xml:space="preserve">Printed and published weekly by authority of </w:t>
    </w:r>
    <w:r w:rsidR="00464A8C">
      <w:rPr>
        <w:smallCaps/>
        <w:szCs w:val="17"/>
      </w:rPr>
      <w:t xml:space="preserve">T. </w:t>
    </w:r>
    <w:proofErr w:type="spellStart"/>
    <w:r w:rsidR="00464A8C">
      <w:rPr>
        <w:smallCaps/>
        <w:szCs w:val="17"/>
      </w:rPr>
      <w:t>Foresto</w:t>
    </w:r>
    <w:proofErr w:type="spellEnd"/>
    <w:r w:rsidR="0026731F" w:rsidRPr="00732A1E">
      <w:rPr>
        <w:szCs w:val="17"/>
      </w:rPr>
      <w:t xml:space="preserve">, </w:t>
    </w:r>
    <w:r w:rsidRPr="00B33677">
      <w:rPr>
        <w:szCs w:val="17"/>
      </w:rPr>
      <w:t>Government</w:t>
    </w:r>
    <w:r w:rsidRPr="00777F88">
      <w:rPr>
        <w:szCs w:val="17"/>
      </w:rPr>
      <w:t xml:space="preserve"> Printer, South Australia</w:t>
    </w:r>
  </w:p>
  <w:p w14:paraId="43F68C41"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7879D2">
      <w:rPr>
        <w:szCs w:val="17"/>
      </w:rPr>
      <w:t>80</w:t>
    </w:r>
    <w:r w:rsidRPr="000C7EA3">
      <w:rPr>
        <w:szCs w:val="17"/>
      </w:rPr>
      <w:t xml:space="preserve"> per issue (plus postage), $</w:t>
    </w:r>
    <w:r w:rsidR="003121EA">
      <w:rPr>
        <w:szCs w:val="17"/>
      </w:rPr>
      <w:t>4</w:t>
    </w:r>
    <w:r w:rsidR="007879D2">
      <w:rPr>
        <w:szCs w:val="17"/>
      </w:rPr>
      <w:t>43</w:t>
    </w:r>
    <w:r w:rsidR="003121EA">
      <w:rPr>
        <w:szCs w:val="17"/>
      </w:rPr>
      <w:t>.00</w:t>
    </w:r>
    <w:r w:rsidRPr="000C7EA3">
      <w:rPr>
        <w:szCs w:val="17"/>
      </w:rPr>
      <w:t xml:space="preserve"> per annual subscription—GST inclusive</w:t>
    </w:r>
  </w:p>
  <w:p w14:paraId="646F70FA"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6A10D"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24836"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580923A5"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71A95D96"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09782BDF"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6237BE89"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AB61B" w14:textId="77777777" w:rsidR="00081D36" w:rsidRDefault="00081D36" w:rsidP="00777F88">
      <w:pPr>
        <w:spacing w:after="0" w:line="240" w:lineRule="auto"/>
      </w:pPr>
      <w:r>
        <w:separator/>
      </w:r>
    </w:p>
  </w:footnote>
  <w:footnote w:type="continuationSeparator" w:id="0">
    <w:p w14:paraId="36F3A3AD" w14:textId="77777777" w:rsidR="00081D36" w:rsidRDefault="00081D36" w:rsidP="00777F88">
      <w:pPr>
        <w:spacing w:after="0" w:line="240" w:lineRule="auto"/>
      </w:pPr>
      <w:r>
        <w:continuationSeparator/>
      </w:r>
    </w:p>
  </w:footnote>
  <w:footnote w:id="1">
    <w:p w14:paraId="7BCA520B" w14:textId="77777777" w:rsidR="00260D97" w:rsidRPr="00BD539C" w:rsidRDefault="00260D97" w:rsidP="00260D97">
      <w:pPr>
        <w:tabs>
          <w:tab w:val="left" w:pos="1728"/>
        </w:tabs>
        <w:ind w:left="142" w:right="567" w:hanging="142"/>
        <w:rPr>
          <w:szCs w:val="17"/>
        </w:rPr>
      </w:pPr>
      <w:r w:rsidRPr="00BD539C">
        <w:rPr>
          <w:rStyle w:val="FootnoteReference"/>
          <w:szCs w:val="17"/>
        </w:rPr>
        <w:footnoteRef/>
      </w:r>
      <w:r w:rsidRPr="00BD539C">
        <w:rPr>
          <w:szCs w:val="17"/>
        </w:rPr>
        <w:tab/>
      </w:r>
      <w:r w:rsidRPr="00044BCA">
        <w:rPr>
          <w:spacing w:val="-2"/>
          <w:szCs w:val="17"/>
        </w:rPr>
        <w:t>LACC’S Charter is approved by the Council of Chief Justices which also appoints its Chairman. LACC is not,</w:t>
      </w:r>
      <w:r w:rsidRPr="00044BCA">
        <w:rPr>
          <w:spacing w:val="-2"/>
          <w:w w:val="98"/>
          <w:szCs w:val="17"/>
        </w:rPr>
        <w:t xml:space="preserve"> </w:t>
      </w:r>
      <w:r w:rsidRPr="00044BCA">
        <w:rPr>
          <w:spacing w:val="-2"/>
          <w:szCs w:val="17"/>
        </w:rPr>
        <w:t>however, a committee</w:t>
      </w:r>
      <w:r w:rsidRPr="00BD539C">
        <w:rPr>
          <w:szCs w:val="17"/>
        </w:rPr>
        <w:t xml:space="preserve"> </w:t>
      </w:r>
      <w:r w:rsidRPr="00BD539C">
        <w:rPr>
          <w:spacing w:val="-4"/>
          <w:szCs w:val="17"/>
        </w:rPr>
        <w:t xml:space="preserve">of </w:t>
      </w:r>
      <w:r w:rsidRPr="00BD539C">
        <w:rPr>
          <w:szCs w:val="17"/>
        </w:rPr>
        <w:t>the Council, nor does it act on the Council’s</w:t>
      </w:r>
      <w:r w:rsidRPr="00BD539C">
        <w:rPr>
          <w:spacing w:val="-13"/>
          <w:szCs w:val="17"/>
        </w:rPr>
        <w:t xml:space="preserve"> </w:t>
      </w:r>
      <w:r w:rsidRPr="00BD539C">
        <w:rPr>
          <w:szCs w:val="17"/>
        </w:rPr>
        <w:t>behalf.</w:t>
      </w:r>
    </w:p>
  </w:footnote>
  <w:footnote w:id="2">
    <w:p w14:paraId="1BBA7AFE" w14:textId="77777777" w:rsidR="00260D97" w:rsidRPr="00BD539C" w:rsidRDefault="00260D97" w:rsidP="00260D97">
      <w:pPr>
        <w:tabs>
          <w:tab w:val="left" w:pos="1728"/>
        </w:tabs>
        <w:ind w:left="142" w:right="567" w:hanging="142"/>
        <w:rPr>
          <w:szCs w:val="17"/>
        </w:rPr>
      </w:pPr>
      <w:r w:rsidRPr="00BD539C">
        <w:rPr>
          <w:rStyle w:val="FootnoteReference"/>
          <w:szCs w:val="17"/>
        </w:rPr>
        <w:footnoteRef/>
      </w:r>
      <w:r w:rsidRPr="00BD539C">
        <w:rPr>
          <w:szCs w:val="17"/>
        </w:rPr>
        <w:tab/>
      </w:r>
      <w:r w:rsidRPr="00E84C45">
        <w:rPr>
          <w:i/>
          <w:spacing w:val="-4"/>
          <w:szCs w:val="17"/>
        </w:rPr>
        <w:t xml:space="preserve">Legal Practitioners Act 1981 </w:t>
      </w:r>
      <w:r w:rsidRPr="00E84C45">
        <w:rPr>
          <w:spacing w:val="-4"/>
          <w:szCs w:val="17"/>
        </w:rPr>
        <w:t xml:space="preserve">(SA) section 15(1)(a); </w:t>
      </w:r>
      <w:r w:rsidRPr="00E84C45">
        <w:rPr>
          <w:i/>
          <w:spacing w:val="-4"/>
          <w:szCs w:val="17"/>
        </w:rPr>
        <w:t xml:space="preserve">Legal Profession Act </w:t>
      </w:r>
      <w:r w:rsidRPr="00E84C45">
        <w:rPr>
          <w:spacing w:val="-4"/>
          <w:szCs w:val="17"/>
        </w:rPr>
        <w:t xml:space="preserve">2006 (ACT) section 26(2)(b); </w:t>
      </w:r>
      <w:r w:rsidRPr="00E84C45">
        <w:rPr>
          <w:i/>
          <w:spacing w:val="-4"/>
          <w:szCs w:val="17"/>
        </w:rPr>
        <w:t>Legal</w:t>
      </w:r>
      <w:r w:rsidRPr="00E84C45">
        <w:rPr>
          <w:i/>
          <w:spacing w:val="-4"/>
          <w:w w:val="98"/>
          <w:szCs w:val="17"/>
        </w:rPr>
        <w:t xml:space="preserve"> </w:t>
      </w:r>
      <w:r w:rsidRPr="00E84C45">
        <w:rPr>
          <w:i/>
          <w:spacing w:val="-4"/>
          <w:szCs w:val="17"/>
        </w:rPr>
        <w:t xml:space="preserve">Profession Act </w:t>
      </w:r>
      <w:r w:rsidRPr="00E84C45">
        <w:rPr>
          <w:i/>
          <w:iCs/>
          <w:spacing w:val="-4"/>
          <w:szCs w:val="17"/>
        </w:rPr>
        <w:t>2006</w:t>
      </w:r>
      <w:r w:rsidRPr="00E84C45">
        <w:rPr>
          <w:spacing w:val="-4"/>
          <w:szCs w:val="17"/>
        </w:rPr>
        <w:t xml:space="preserve"> (NT)</w:t>
      </w:r>
      <w:r w:rsidRPr="00BD539C">
        <w:rPr>
          <w:spacing w:val="-5"/>
          <w:szCs w:val="17"/>
        </w:rPr>
        <w:t xml:space="preserve"> </w:t>
      </w:r>
      <w:r w:rsidRPr="00BD539C">
        <w:rPr>
          <w:szCs w:val="17"/>
        </w:rPr>
        <w:t>section</w:t>
      </w:r>
      <w:r w:rsidRPr="00BD539C">
        <w:rPr>
          <w:spacing w:val="-2"/>
          <w:szCs w:val="17"/>
        </w:rPr>
        <w:t xml:space="preserve"> </w:t>
      </w:r>
      <w:r w:rsidRPr="00BD539C">
        <w:rPr>
          <w:szCs w:val="17"/>
        </w:rPr>
        <w:t>25(2)(b);</w:t>
      </w:r>
      <w:r w:rsidRPr="00BD539C">
        <w:rPr>
          <w:spacing w:val="2"/>
          <w:szCs w:val="17"/>
        </w:rPr>
        <w:t xml:space="preserve"> </w:t>
      </w:r>
      <w:r w:rsidRPr="00BD539C">
        <w:rPr>
          <w:i/>
          <w:szCs w:val="17"/>
        </w:rPr>
        <w:t>Legal</w:t>
      </w:r>
      <w:r w:rsidRPr="00BD539C">
        <w:rPr>
          <w:i/>
          <w:spacing w:val="-6"/>
          <w:szCs w:val="17"/>
        </w:rPr>
        <w:t xml:space="preserve"> </w:t>
      </w:r>
      <w:r w:rsidRPr="00BD539C">
        <w:rPr>
          <w:i/>
          <w:szCs w:val="17"/>
        </w:rPr>
        <w:t>Profession</w:t>
      </w:r>
      <w:r w:rsidRPr="00BD539C">
        <w:rPr>
          <w:i/>
          <w:spacing w:val="-6"/>
          <w:szCs w:val="17"/>
        </w:rPr>
        <w:t xml:space="preserve"> </w:t>
      </w:r>
      <w:r w:rsidRPr="00BD539C">
        <w:rPr>
          <w:i/>
          <w:szCs w:val="17"/>
        </w:rPr>
        <w:t>Act</w:t>
      </w:r>
      <w:r w:rsidRPr="00BD539C">
        <w:rPr>
          <w:i/>
          <w:spacing w:val="-1"/>
          <w:szCs w:val="17"/>
        </w:rPr>
        <w:t xml:space="preserve"> </w:t>
      </w:r>
      <w:r w:rsidRPr="00BD539C">
        <w:rPr>
          <w:i/>
          <w:szCs w:val="17"/>
        </w:rPr>
        <w:t>2007</w:t>
      </w:r>
      <w:r w:rsidRPr="00BD539C">
        <w:rPr>
          <w:i/>
          <w:spacing w:val="-4"/>
          <w:szCs w:val="17"/>
        </w:rPr>
        <w:t xml:space="preserve"> </w:t>
      </w:r>
      <w:r w:rsidRPr="00BD539C">
        <w:rPr>
          <w:szCs w:val="17"/>
        </w:rPr>
        <w:t>(Qld)</w:t>
      </w:r>
      <w:r w:rsidRPr="00BD539C">
        <w:rPr>
          <w:spacing w:val="-5"/>
          <w:szCs w:val="17"/>
        </w:rPr>
        <w:t xml:space="preserve"> </w:t>
      </w:r>
      <w:r w:rsidRPr="00BD539C">
        <w:rPr>
          <w:szCs w:val="17"/>
        </w:rPr>
        <w:t>section</w:t>
      </w:r>
      <w:r w:rsidRPr="00BD539C">
        <w:rPr>
          <w:spacing w:val="-2"/>
          <w:szCs w:val="17"/>
        </w:rPr>
        <w:t xml:space="preserve"> </w:t>
      </w:r>
      <w:r w:rsidRPr="00BD539C">
        <w:rPr>
          <w:szCs w:val="17"/>
        </w:rPr>
        <w:t>35(2)(a)(ii);</w:t>
      </w:r>
      <w:r w:rsidRPr="00BD539C">
        <w:rPr>
          <w:spacing w:val="-1"/>
          <w:szCs w:val="17"/>
        </w:rPr>
        <w:t xml:space="preserve"> </w:t>
      </w:r>
      <w:r w:rsidRPr="00BD539C">
        <w:rPr>
          <w:i/>
          <w:szCs w:val="17"/>
        </w:rPr>
        <w:t>Legal</w:t>
      </w:r>
      <w:r w:rsidRPr="00BD539C">
        <w:rPr>
          <w:i/>
          <w:spacing w:val="-6"/>
          <w:szCs w:val="17"/>
        </w:rPr>
        <w:t xml:space="preserve"> </w:t>
      </w:r>
      <w:r w:rsidRPr="00BD539C">
        <w:rPr>
          <w:i/>
          <w:szCs w:val="17"/>
        </w:rPr>
        <w:t>Profession</w:t>
      </w:r>
      <w:r w:rsidRPr="00BD539C">
        <w:rPr>
          <w:i/>
          <w:w w:val="98"/>
          <w:szCs w:val="17"/>
        </w:rPr>
        <w:t xml:space="preserve"> </w:t>
      </w:r>
      <w:r w:rsidRPr="00BD539C">
        <w:rPr>
          <w:i/>
          <w:szCs w:val="17"/>
        </w:rPr>
        <w:t>Act</w:t>
      </w:r>
      <w:r w:rsidRPr="00BD539C">
        <w:rPr>
          <w:i/>
          <w:spacing w:val="-5"/>
          <w:szCs w:val="17"/>
        </w:rPr>
        <w:t xml:space="preserve"> </w:t>
      </w:r>
      <w:r w:rsidRPr="00BD539C">
        <w:rPr>
          <w:i/>
          <w:szCs w:val="17"/>
        </w:rPr>
        <w:t>2007</w:t>
      </w:r>
      <w:r w:rsidRPr="00BD539C">
        <w:rPr>
          <w:i/>
          <w:spacing w:val="-5"/>
          <w:szCs w:val="17"/>
        </w:rPr>
        <w:t xml:space="preserve"> </w:t>
      </w:r>
      <w:r w:rsidRPr="00BD539C">
        <w:rPr>
          <w:szCs w:val="17"/>
        </w:rPr>
        <w:t>(Tas)</w:t>
      </w:r>
      <w:r w:rsidRPr="00BD539C">
        <w:rPr>
          <w:spacing w:val="-4"/>
          <w:szCs w:val="17"/>
        </w:rPr>
        <w:t xml:space="preserve"> </w:t>
      </w:r>
      <w:r w:rsidRPr="00BD539C">
        <w:rPr>
          <w:szCs w:val="17"/>
        </w:rPr>
        <w:t>section</w:t>
      </w:r>
      <w:r w:rsidRPr="00BD539C">
        <w:rPr>
          <w:spacing w:val="-2"/>
          <w:szCs w:val="17"/>
        </w:rPr>
        <w:t xml:space="preserve"> </w:t>
      </w:r>
      <w:r w:rsidRPr="00BD539C">
        <w:rPr>
          <w:szCs w:val="17"/>
        </w:rPr>
        <w:t>31(6)(b);</w:t>
      </w:r>
      <w:r>
        <w:rPr>
          <w:spacing w:val="1"/>
          <w:szCs w:val="17"/>
        </w:rPr>
        <w:t xml:space="preserve"> </w:t>
      </w:r>
      <w:r w:rsidRPr="00BD539C">
        <w:rPr>
          <w:i/>
          <w:szCs w:val="17"/>
        </w:rPr>
        <w:t>Legal</w:t>
      </w:r>
      <w:r>
        <w:rPr>
          <w:i/>
          <w:spacing w:val="-5"/>
          <w:szCs w:val="17"/>
        </w:rPr>
        <w:t> </w:t>
      </w:r>
      <w:r w:rsidRPr="00BD539C">
        <w:rPr>
          <w:i/>
          <w:szCs w:val="17"/>
        </w:rPr>
        <w:t>Profession</w:t>
      </w:r>
      <w:r w:rsidRPr="00BD539C">
        <w:rPr>
          <w:i/>
          <w:spacing w:val="-2"/>
          <w:szCs w:val="17"/>
        </w:rPr>
        <w:t xml:space="preserve"> </w:t>
      </w:r>
      <w:r w:rsidRPr="00BD539C">
        <w:rPr>
          <w:i/>
          <w:szCs w:val="17"/>
        </w:rPr>
        <w:t>Act</w:t>
      </w:r>
      <w:r w:rsidRPr="00BD539C">
        <w:rPr>
          <w:i/>
          <w:spacing w:val="-5"/>
          <w:szCs w:val="17"/>
        </w:rPr>
        <w:t xml:space="preserve"> </w:t>
      </w:r>
      <w:r w:rsidRPr="00BD539C">
        <w:rPr>
          <w:i/>
          <w:szCs w:val="17"/>
        </w:rPr>
        <w:t>2008</w:t>
      </w:r>
      <w:r w:rsidRPr="00BD539C">
        <w:rPr>
          <w:i/>
          <w:spacing w:val="-3"/>
          <w:szCs w:val="17"/>
        </w:rPr>
        <w:t xml:space="preserve"> </w:t>
      </w:r>
      <w:r w:rsidRPr="00BD539C">
        <w:rPr>
          <w:spacing w:val="3"/>
          <w:szCs w:val="17"/>
        </w:rPr>
        <w:t>(WA)</w:t>
      </w:r>
      <w:r w:rsidRPr="00BD539C">
        <w:rPr>
          <w:spacing w:val="-4"/>
          <w:szCs w:val="17"/>
        </w:rPr>
        <w:t xml:space="preserve"> </w:t>
      </w:r>
      <w:r w:rsidRPr="00BD539C">
        <w:rPr>
          <w:szCs w:val="17"/>
        </w:rPr>
        <w:t>section</w:t>
      </w:r>
      <w:r w:rsidRPr="00BD539C">
        <w:rPr>
          <w:spacing w:val="-2"/>
          <w:szCs w:val="17"/>
        </w:rPr>
        <w:t xml:space="preserve"> </w:t>
      </w:r>
      <w:r w:rsidRPr="00BD539C">
        <w:rPr>
          <w:szCs w:val="17"/>
        </w:rPr>
        <w:t>26(1)(a)(ii);</w:t>
      </w:r>
      <w:r w:rsidRPr="00BD539C">
        <w:rPr>
          <w:spacing w:val="2"/>
          <w:szCs w:val="17"/>
        </w:rPr>
        <w:t xml:space="preserve"> </w:t>
      </w:r>
      <w:r w:rsidRPr="00BD539C">
        <w:rPr>
          <w:i/>
          <w:szCs w:val="17"/>
        </w:rPr>
        <w:t>Legal</w:t>
      </w:r>
      <w:r w:rsidRPr="00BD539C">
        <w:rPr>
          <w:i/>
          <w:spacing w:val="-5"/>
          <w:szCs w:val="17"/>
        </w:rPr>
        <w:t xml:space="preserve"> </w:t>
      </w:r>
      <w:r w:rsidRPr="00BD539C">
        <w:rPr>
          <w:i/>
          <w:szCs w:val="17"/>
        </w:rPr>
        <w:t>Profession</w:t>
      </w:r>
      <w:r w:rsidRPr="00BD539C">
        <w:rPr>
          <w:i/>
          <w:spacing w:val="-2"/>
          <w:szCs w:val="17"/>
        </w:rPr>
        <w:t xml:space="preserve"> </w:t>
      </w:r>
      <w:r w:rsidRPr="00BD539C">
        <w:rPr>
          <w:i/>
          <w:szCs w:val="17"/>
        </w:rPr>
        <w:t>Uniform</w:t>
      </w:r>
      <w:r w:rsidRPr="00BD539C">
        <w:rPr>
          <w:i/>
          <w:w w:val="99"/>
          <w:szCs w:val="17"/>
        </w:rPr>
        <w:t xml:space="preserve"> </w:t>
      </w:r>
      <w:r w:rsidRPr="00BD539C">
        <w:rPr>
          <w:i/>
          <w:szCs w:val="17"/>
        </w:rPr>
        <w:t xml:space="preserve">Law </w:t>
      </w:r>
      <w:r w:rsidRPr="00BD539C">
        <w:rPr>
          <w:szCs w:val="17"/>
        </w:rPr>
        <w:t>(NSW &amp; Vic) section</w:t>
      </w:r>
      <w:r w:rsidRPr="00BD539C">
        <w:rPr>
          <w:spacing w:val="-12"/>
          <w:szCs w:val="17"/>
        </w:rPr>
        <w:t xml:space="preserve"> </w:t>
      </w:r>
      <w:r w:rsidRPr="00BD539C">
        <w:rPr>
          <w:szCs w:val="17"/>
        </w:rPr>
        <w:t>17(1)(c)</w:t>
      </w:r>
    </w:p>
  </w:footnote>
  <w:footnote w:id="3">
    <w:p w14:paraId="5C0D13A6" w14:textId="77777777" w:rsidR="00260D97" w:rsidRPr="00BD539C" w:rsidRDefault="00260D97" w:rsidP="00260D97">
      <w:pPr>
        <w:tabs>
          <w:tab w:val="left" w:pos="1728"/>
        </w:tabs>
        <w:ind w:left="142" w:right="567" w:hanging="142"/>
        <w:rPr>
          <w:szCs w:val="17"/>
        </w:rPr>
      </w:pPr>
      <w:r w:rsidRPr="00BD539C">
        <w:rPr>
          <w:rStyle w:val="FootnoteReference"/>
          <w:szCs w:val="17"/>
        </w:rPr>
        <w:footnoteRef/>
      </w:r>
      <w:r w:rsidRPr="00BD539C">
        <w:rPr>
          <w:szCs w:val="17"/>
        </w:rPr>
        <w:tab/>
      </w:r>
      <w:r w:rsidRPr="00044BCA">
        <w:rPr>
          <w:i/>
          <w:spacing w:val="-2"/>
          <w:szCs w:val="17"/>
        </w:rPr>
        <w:t xml:space="preserve">Legal Profession Act </w:t>
      </w:r>
      <w:r w:rsidRPr="00044BCA">
        <w:rPr>
          <w:spacing w:val="-2"/>
          <w:szCs w:val="17"/>
        </w:rPr>
        <w:t xml:space="preserve">2006 (ACT) section11(1)(a); </w:t>
      </w:r>
      <w:r w:rsidRPr="00044BCA">
        <w:rPr>
          <w:i/>
          <w:spacing w:val="-2"/>
          <w:szCs w:val="17"/>
        </w:rPr>
        <w:t xml:space="preserve">Legal Profession Act 2006 </w:t>
      </w:r>
      <w:r w:rsidRPr="00044BCA">
        <w:rPr>
          <w:spacing w:val="-2"/>
          <w:szCs w:val="17"/>
        </w:rPr>
        <w:t xml:space="preserve">(NT) section 11(1)(a); </w:t>
      </w:r>
      <w:r w:rsidRPr="00044BCA">
        <w:rPr>
          <w:i/>
          <w:spacing w:val="-2"/>
          <w:szCs w:val="17"/>
        </w:rPr>
        <w:t>Legal</w:t>
      </w:r>
      <w:r w:rsidRPr="00044BCA">
        <w:rPr>
          <w:i/>
          <w:spacing w:val="-2"/>
          <w:w w:val="98"/>
          <w:szCs w:val="17"/>
        </w:rPr>
        <w:t xml:space="preserve"> </w:t>
      </w:r>
      <w:r w:rsidRPr="00044BCA">
        <w:rPr>
          <w:i/>
          <w:spacing w:val="-2"/>
          <w:szCs w:val="17"/>
        </w:rPr>
        <w:t xml:space="preserve">Profession Act 2007 </w:t>
      </w:r>
      <w:r w:rsidRPr="00044BCA">
        <w:rPr>
          <w:spacing w:val="-2"/>
          <w:szCs w:val="17"/>
        </w:rPr>
        <w:t xml:space="preserve">(Qld) </w:t>
      </w:r>
      <w:r w:rsidRPr="00BD539C">
        <w:rPr>
          <w:szCs w:val="17"/>
        </w:rPr>
        <w:t xml:space="preserve">section 9(1)(a); </w:t>
      </w:r>
      <w:r w:rsidRPr="00BD539C">
        <w:rPr>
          <w:i/>
          <w:szCs w:val="17"/>
        </w:rPr>
        <w:t xml:space="preserve">Legal Profession Act 2007 </w:t>
      </w:r>
      <w:r w:rsidRPr="00BD539C">
        <w:rPr>
          <w:szCs w:val="17"/>
        </w:rPr>
        <w:t xml:space="preserve">(Tas) section 9(1)(a); </w:t>
      </w:r>
      <w:r w:rsidRPr="00BD539C">
        <w:rPr>
          <w:i/>
          <w:szCs w:val="17"/>
        </w:rPr>
        <w:t>Legal Profession</w:t>
      </w:r>
      <w:r w:rsidRPr="00BD539C">
        <w:rPr>
          <w:i/>
          <w:spacing w:val="-30"/>
          <w:szCs w:val="17"/>
        </w:rPr>
        <w:t xml:space="preserve"> </w:t>
      </w:r>
      <w:r w:rsidRPr="00BD539C">
        <w:rPr>
          <w:i/>
          <w:szCs w:val="17"/>
        </w:rPr>
        <w:t>Act</w:t>
      </w:r>
      <w:r w:rsidRPr="00BD539C">
        <w:rPr>
          <w:i/>
          <w:w w:val="98"/>
          <w:szCs w:val="17"/>
        </w:rPr>
        <w:t xml:space="preserve"> </w:t>
      </w:r>
      <w:r w:rsidRPr="00BD539C">
        <w:rPr>
          <w:i/>
          <w:szCs w:val="17"/>
        </w:rPr>
        <w:t xml:space="preserve">2008 </w:t>
      </w:r>
      <w:r w:rsidRPr="00BD539C">
        <w:rPr>
          <w:szCs w:val="17"/>
        </w:rPr>
        <w:t xml:space="preserve">(WA) section 8(1)(a); </w:t>
      </w:r>
      <w:r w:rsidRPr="004B542C">
        <w:rPr>
          <w:i/>
          <w:iCs/>
          <w:szCs w:val="17"/>
        </w:rPr>
        <w:t>Uniform Admission Rules</w:t>
      </w:r>
      <w:r w:rsidRPr="00BD539C">
        <w:rPr>
          <w:szCs w:val="17"/>
        </w:rPr>
        <w:t xml:space="preserve"> </w:t>
      </w:r>
      <w:r w:rsidRPr="00BD539C">
        <w:rPr>
          <w:i/>
          <w:szCs w:val="17"/>
        </w:rPr>
        <w:t xml:space="preserve">2015 </w:t>
      </w:r>
      <w:r w:rsidRPr="00BD539C">
        <w:rPr>
          <w:szCs w:val="17"/>
        </w:rPr>
        <w:t>(NSW &amp; Vic)</w:t>
      </w:r>
      <w:r w:rsidRPr="00BD539C">
        <w:rPr>
          <w:spacing w:val="-24"/>
          <w:szCs w:val="17"/>
        </w:rPr>
        <w:t xml:space="preserve"> </w:t>
      </w:r>
      <w:r w:rsidRPr="00BD539C">
        <w:rPr>
          <w:szCs w:val="17"/>
        </w:rPr>
        <w:t>rule10(1)(f).</w:t>
      </w:r>
    </w:p>
  </w:footnote>
  <w:footnote w:id="4">
    <w:p w14:paraId="7CB7BC0A" w14:textId="77777777" w:rsidR="00260D97" w:rsidRPr="00BD539C" w:rsidRDefault="00260D97" w:rsidP="00260D97">
      <w:pPr>
        <w:tabs>
          <w:tab w:val="left" w:pos="1728"/>
        </w:tabs>
        <w:ind w:left="142" w:right="567" w:hanging="142"/>
        <w:rPr>
          <w:b/>
          <w:szCs w:val="17"/>
        </w:rPr>
      </w:pPr>
      <w:r w:rsidRPr="00BD539C">
        <w:rPr>
          <w:rStyle w:val="FootnoteReference"/>
          <w:szCs w:val="17"/>
        </w:rPr>
        <w:footnoteRef/>
      </w:r>
      <w:r w:rsidRPr="00BD539C">
        <w:rPr>
          <w:szCs w:val="17"/>
        </w:rPr>
        <w:tab/>
      </w:r>
      <w:r w:rsidRPr="00BD539C">
        <w:rPr>
          <w:i/>
          <w:szCs w:val="17"/>
        </w:rPr>
        <w:t xml:space="preserve">Frugtniet v Board of Examiners [2002] VSC 140 </w:t>
      </w:r>
      <w:r w:rsidRPr="00BD539C">
        <w:rPr>
          <w:szCs w:val="17"/>
        </w:rPr>
        <w:t>per Pagone, J.</w:t>
      </w:r>
    </w:p>
  </w:footnote>
  <w:footnote w:id="5">
    <w:p w14:paraId="2FB5CBB0" w14:textId="77777777" w:rsidR="00260D97" w:rsidRPr="00BD539C" w:rsidRDefault="00260D97" w:rsidP="00260D97">
      <w:pPr>
        <w:tabs>
          <w:tab w:val="left" w:pos="1728"/>
        </w:tabs>
        <w:ind w:left="142" w:right="567" w:hanging="142"/>
        <w:rPr>
          <w:szCs w:val="17"/>
        </w:rPr>
      </w:pPr>
      <w:r w:rsidRPr="00BD539C">
        <w:rPr>
          <w:rStyle w:val="FootnoteReference"/>
          <w:szCs w:val="17"/>
        </w:rPr>
        <w:footnoteRef/>
      </w:r>
      <w:r w:rsidRPr="00BD539C">
        <w:rPr>
          <w:szCs w:val="17"/>
        </w:rPr>
        <w:tab/>
      </w:r>
      <w:r w:rsidRPr="00BD539C">
        <w:rPr>
          <w:i/>
          <w:szCs w:val="17"/>
        </w:rPr>
        <w:t xml:space="preserve">Frugtniet v Board of Examiners </w:t>
      </w:r>
      <w:r w:rsidRPr="00BD539C">
        <w:rPr>
          <w:szCs w:val="17"/>
        </w:rPr>
        <w:t>[2002] VSC 140, per Pagone J.</w:t>
      </w:r>
    </w:p>
  </w:footnote>
  <w:footnote w:id="6">
    <w:p w14:paraId="6C53E2BF" w14:textId="77777777" w:rsidR="00260D97" w:rsidRPr="00347B4F" w:rsidRDefault="00260D97" w:rsidP="00260D97">
      <w:pPr>
        <w:tabs>
          <w:tab w:val="left" w:pos="1728"/>
        </w:tabs>
        <w:ind w:left="142" w:right="567" w:hanging="142"/>
        <w:rPr>
          <w:spacing w:val="-2"/>
          <w:szCs w:val="17"/>
        </w:rPr>
      </w:pPr>
      <w:r w:rsidRPr="00BD539C">
        <w:rPr>
          <w:rStyle w:val="FootnoteReference"/>
          <w:szCs w:val="17"/>
        </w:rPr>
        <w:footnoteRef/>
      </w:r>
      <w:r w:rsidRPr="00BD539C">
        <w:rPr>
          <w:szCs w:val="17"/>
        </w:rPr>
        <w:tab/>
      </w:r>
      <w:r w:rsidRPr="00E33B7A">
        <w:rPr>
          <w:szCs w:val="17"/>
        </w:rPr>
        <w:t xml:space="preserve">By way of illustration, in </w:t>
      </w:r>
      <w:r w:rsidRPr="00E33B7A">
        <w:rPr>
          <w:i/>
          <w:szCs w:val="17"/>
        </w:rPr>
        <w:t xml:space="preserve">XY v Board of Examiners </w:t>
      </w:r>
      <w:r w:rsidRPr="00E33B7A">
        <w:rPr>
          <w:szCs w:val="17"/>
        </w:rPr>
        <w:t>[2005] VSC 250, Habersberger, J found that an applicant was</w:t>
      </w:r>
      <w:r w:rsidRPr="00E33B7A">
        <w:rPr>
          <w:w w:val="99"/>
          <w:szCs w:val="17"/>
        </w:rPr>
        <w:t xml:space="preserve"> </w:t>
      </w:r>
      <w:r w:rsidRPr="00E33B7A">
        <w:rPr>
          <w:szCs w:val="17"/>
        </w:rPr>
        <w:t>under a duty to disclose that a volunteer position had been terminated as a result of making offensive remarks to</w:t>
      </w:r>
      <w:r w:rsidRPr="00E33B7A">
        <w:rPr>
          <w:w w:val="99"/>
          <w:szCs w:val="17"/>
        </w:rPr>
        <w:t xml:space="preserve"> </w:t>
      </w:r>
      <w:r w:rsidRPr="00E33B7A">
        <w:rPr>
          <w:szCs w:val="17"/>
        </w:rPr>
        <w:t xml:space="preserve">a fellow worker and that she </w:t>
      </w:r>
      <w:r w:rsidRPr="00347B4F">
        <w:rPr>
          <w:spacing w:val="-2"/>
          <w:szCs w:val="17"/>
        </w:rPr>
        <w:t>was also required to disclose property damage she had caused at a meditation</w:t>
      </w:r>
      <w:r w:rsidRPr="00347B4F">
        <w:rPr>
          <w:spacing w:val="-2"/>
          <w:w w:val="99"/>
          <w:szCs w:val="17"/>
        </w:rPr>
        <w:t xml:space="preserve"> </w:t>
      </w:r>
      <w:r w:rsidRPr="00347B4F">
        <w:rPr>
          <w:spacing w:val="-2"/>
          <w:szCs w:val="17"/>
        </w:rPr>
        <w:t>retreat,</w:t>
      </w:r>
      <w:r w:rsidRPr="00347B4F">
        <w:rPr>
          <w:spacing w:val="-2"/>
          <w:szCs w:val="17"/>
        </w:rPr>
        <w:tab/>
        <w:t xml:space="preserve"> notwithstanding that charges were not laid.</w:t>
      </w:r>
    </w:p>
  </w:footnote>
  <w:footnote w:id="7">
    <w:p w14:paraId="692EA1FC" w14:textId="77777777" w:rsidR="00260D97" w:rsidRPr="00BD539C" w:rsidRDefault="00260D97" w:rsidP="00260D97">
      <w:pPr>
        <w:tabs>
          <w:tab w:val="left" w:pos="1728"/>
        </w:tabs>
        <w:ind w:left="142" w:right="567" w:hanging="142"/>
        <w:rPr>
          <w:szCs w:val="17"/>
        </w:rPr>
      </w:pPr>
      <w:r w:rsidRPr="00BD539C">
        <w:rPr>
          <w:rStyle w:val="FootnoteReference"/>
          <w:szCs w:val="17"/>
        </w:rPr>
        <w:footnoteRef/>
      </w:r>
      <w:r w:rsidRPr="00BD539C">
        <w:rPr>
          <w:szCs w:val="17"/>
        </w:rPr>
        <w:tab/>
      </w:r>
      <w:r w:rsidRPr="00BD539C">
        <w:rPr>
          <w:i/>
          <w:szCs w:val="17"/>
        </w:rPr>
        <w:t xml:space="preserve">Legal Profession Act 2006 </w:t>
      </w:r>
      <w:r w:rsidRPr="00BD539C">
        <w:rPr>
          <w:szCs w:val="17"/>
        </w:rPr>
        <w:t xml:space="preserve">(ACT) section 11(m); </w:t>
      </w:r>
      <w:r w:rsidRPr="00BD539C">
        <w:rPr>
          <w:i/>
          <w:szCs w:val="17"/>
        </w:rPr>
        <w:t xml:space="preserve">Legal Profession Act 2004 </w:t>
      </w:r>
      <w:r w:rsidRPr="00BD539C">
        <w:rPr>
          <w:spacing w:val="2"/>
          <w:szCs w:val="17"/>
        </w:rPr>
        <w:t xml:space="preserve">(NSW) </w:t>
      </w:r>
      <w:r w:rsidRPr="00BD539C">
        <w:rPr>
          <w:szCs w:val="17"/>
        </w:rPr>
        <w:t>section 9(m);</w:t>
      </w:r>
      <w:r w:rsidRPr="00BD539C">
        <w:rPr>
          <w:spacing w:val="7"/>
          <w:szCs w:val="17"/>
        </w:rPr>
        <w:t xml:space="preserve"> </w:t>
      </w:r>
      <w:r w:rsidRPr="00BD539C">
        <w:rPr>
          <w:i/>
          <w:szCs w:val="17"/>
        </w:rPr>
        <w:t>Legal</w:t>
      </w:r>
      <w:r w:rsidRPr="00BD539C">
        <w:rPr>
          <w:i/>
          <w:w w:val="98"/>
          <w:szCs w:val="17"/>
        </w:rPr>
        <w:t xml:space="preserve"> </w:t>
      </w:r>
      <w:r w:rsidRPr="00BD539C">
        <w:rPr>
          <w:i/>
          <w:szCs w:val="17"/>
        </w:rPr>
        <w:t>Profession</w:t>
      </w:r>
      <w:r w:rsidRPr="00BD539C">
        <w:rPr>
          <w:i/>
          <w:spacing w:val="-2"/>
          <w:szCs w:val="17"/>
        </w:rPr>
        <w:t xml:space="preserve"> </w:t>
      </w:r>
      <w:r w:rsidRPr="00BD539C">
        <w:rPr>
          <w:i/>
          <w:szCs w:val="17"/>
        </w:rPr>
        <w:t>Act</w:t>
      </w:r>
      <w:r>
        <w:rPr>
          <w:i/>
          <w:spacing w:val="1"/>
          <w:szCs w:val="17"/>
        </w:rPr>
        <w:t xml:space="preserve"> </w:t>
      </w:r>
      <w:r w:rsidRPr="00E33B7A">
        <w:rPr>
          <w:i/>
          <w:iCs/>
          <w:szCs w:val="17"/>
        </w:rPr>
        <w:t>2007</w:t>
      </w:r>
      <w:r w:rsidRPr="00E33B7A">
        <w:rPr>
          <w:i/>
          <w:iCs/>
          <w:spacing w:val="-2"/>
          <w:szCs w:val="17"/>
        </w:rPr>
        <w:t xml:space="preserve"> </w:t>
      </w:r>
      <w:r w:rsidRPr="00BD539C">
        <w:rPr>
          <w:szCs w:val="17"/>
        </w:rPr>
        <w:t>(Qld)</w:t>
      </w:r>
      <w:r w:rsidRPr="00BD539C">
        <w:rPr>
          <w:spacing w:val="-4"/>
          <w:szCs w:val="17"/>
        </w:rPr>
        <w:t xml:space="preserve"> </w:t>
      </w:r>
      <w:r w:rsidRPr="00BD539C">
        <w:rPr>
          <w:szCs w:val="17"/>
        </w:rPr>
        <w:t>section</w:t>
      </w:r>
      <w:r w:rsidRPr="00BD539C">
        <w:rPr>
          <w:spacing w:val="-2"/>
          <w:szCs w:val="17"/>
        </w:rPr>
        <w:t xml:space="preserve"> </w:t>
      </w:r>
      <w:r w:rsidRPr="00BD539C">
        <w:rPr>
          <w:szCs w:val="17"/>
        </w:rPr>
        <w:t>9(1)(m);</w:t>
      </w:r>
      <w:r w:rsidRPr="00BD539C">
        <w:rPr>
          <w:spacing w:val="2"/>
          <w:szCs w:val="17"/>
        </w:rPr>
        <w:t xml:space="preserve"> </w:t>
      </w:r>
      <w:r w:rsidRPr="00BD539C">
        <w:rPr>
          <w:i/>
          <w:szCs w:val="17"/>
        </w:rPr>
        <w:t>Legal</w:t>
      </w:r>
      <w:r w:rsidRPr="00BD539C">
        <w:rPr>
          <w:i/>
          <w:spacing w:val="-10"/>
          <w:szCs w:val="17"/>
        </w:rPr>
        <w:t xml:space="preserve"> </w:t>
      </w:r>
      <w:r w:rsidRPr="00BD539C">
        <w:rPr>
          <w:i/>
          <w:szCs w:val="17"/>
        </w:rPr>
        <w:t>Profession</w:t>
      </w:r>
      <w:r w:rsidRPr="00BD539C">
        <w:rPr>
          <w:i/>
          <w:spacing w:val="-5"/>
          <w:szCs w:val="17"/>
        </w:rPr>
        <w:t xml:space="preserve"> </w:t>
      </w:r>
      <w:r w:rsidRPr="00BD539C">
        <w:rPr>
          <w:i/>
          <w:szCs w:val="17"/>
        </w:rPr>
        <w:t>Act</w:t>
      </w:r>
      <w:r w:rsidRPr="00BD539C">
        <w:rPr>
          <w:i/>
          <w:spacing w:val="-1"/>
          <w:szCs w:val="17"/>
        </w:rPr>
        <w:t xml:space="preserve"> </w:t>
      </w:r>
      <w:r w:rsidRPr="00BD539C">
        <w:rPr>
          <w:i/>
          <w:szCs w:val="17"/>
        </w:rPr>
        <w:t>2007</w:t>
      </w:r>
      <w:r w:rsidRPr="00BD539C">
        <w:rPr>
          <w:i/>
          <w:spacing w:val="-1"/>
          <w:szCs w:val="17"/>
        </w:rPr>
        <w:t xml:space="preserve"> </w:t>
      </w:r>
      <w:r w:rsidRPr="00BD539C">
        <w:rPr>
          <w:szCs w:val="17"/>
        </w:rPr>
        <w:t>(Tas)</w:t>
      </w:r>
      <w:r w:rsidRPr="00BD539C">
        <w:rPr>
          <w:spacing w:val="-4"/>
          <w:szCs w:val="17"/>
        </w:rPr>
        <w:t xml:space="preserve"> </w:t>
      </w:r>
      <w:r w:rsidRPr="00BD539C">
        <w:rPr>
          <w:szCs w:val="17"/>
        </w:rPr>
        <w:t>section</w:t>
      </w:r>
      <w:r w:rsidRPr="00BD539C">
        <w:rPr>
          <w:spacing w:val="-2"/>
          <w:szCs w:val="17"/>
        </w:rPr>
        <w:t xml:space="preserve"> </w:t>
      </w:r>
      <w:r w:rsidRPr="00BD539C">
        <w:rPr>
          <w:szCs w:val="17"/>
        </w:rPr>
        <w:t>9(m);</w:t>
      </w:r>
      <w:r w:rsidRPr="00BD539C">
        <w:rPr>
          <w:spacing w:val="-5"/>
          <w:szCs w:val="17"/>
        </w:rPr>
        <w:t xml:space="preserve"> </w:t>
      </w:r>
      <w:r w:rsidRPr="00BD539C">
        <w:rPr>
          <w:szCs w:val="17"/>
        </w:rPr>
        <w:t>Uniform</w:t>
      </w:r>
      <w:r w:rsidRPr="00BD539C">
        <w:rPr>
          <w:spacing w:val="-6"/>
          <w:szCs w:val="17"/>
        </w:rPr>
        <w:t xml:space="preserve"> </w:t>
      </w:r>
      <w:r w:rsidRPr="00BD539C">
        <w:rPr>
          <w:szCs w:val="17"/>
        </w:rPr>
        <w:t>Admission</w:t>
      </w:r>
      <w:r w:rsidRPr="00BD539C">
        <w:rPr>
          <w:w w:val="98"/>
          <w:szCs w:val="17"/>
        </w:rPr>
        <w:t xml:space="preserve"> </w:t>
      </w:r>
      <w:r w:rsidRPr="00BD539C">
        <w:rPr>
          <w:szCs w:val="17"/>
        </w:rPr>
        <w:t>Rules 2015 (NSW &amp; Vic)</w:t>
      </w:r>
      <w:r>
        <w:rPr>
          <w:szCs w:val="17"/>
        </w:rPr>
        <w:t xml:space="preserve"> </w:t>
      </w:r>
      <w:r w:rsidRPr="00BD539C">
        <w:rPr>
          <w:szCs w:val="17"/>
        </w:rPr>
        <w:t>rule</w:t>
      </w:r>
      <w:r w:rsidRPr="00BD539C">
        <w:rPr>
          <w:spacing w:val="-15"/>
          <w:szCs w:val="17"/>
        </w:rPr>
        <w:t xml:space="preserve"> </w:t>
      </w:r>
      <w:r w:rsidRPr="00BD539C">
        <w:rPr>
          <w:szCs w:val="17"/>
        </w:rPr>
        <w:t>10(1)(k).</w:t>
      </w:r>
    </w:p>
  </w:footnote>
  <w:footnote w:id="8">
    <w:p w14:paraId="3D093044" w14:textId="77777777" w:rsidR="00260D97" w:rsidRPr="00BD539C" w:rsidRDefault="00260D97" w:rsidP="00260D97">
      <w:pPr>
        <w:tabs>
          <w:tab w:val="left" w:pos="1728"/>
        </w:tabs>
        <w:ind w:left="142" w:right="567" w:hanging="142"/>
        <w:rPr>
          <w:szCs w:val="17"/>
        </w:rPr>
      </w:pPr>
      <w:r w:rsidRPr="00BD539C">
        <w:rPr>
          <w:rStyle w:val="FootnoteReference"/>
          <w:szCs w:val="17"/>
        </w:rPr>
        <w:footnoteRef/>
      </w:r>
      <w:r w:rsidRPr="00BD539C">
        <w:rPr>
          <w:szCs w:val="17"/>
        </w:rPr>
        <w:tab/>
      </w:r>
      <w:r w:rsidRPr="00BD539C">
        <w:rPr>
          <w:i/>
          <w:szCs w:val="17"/>
        </w:rPr>
        <w:t xml:space="preserve">Legal Profession Act 2008 </w:t>
      </w:r>
      <w:r w:rsidRPr="00BD539C">
        <w:rPr>
          <w:szCs w:val="17"/>
        </w:rPr>
        <w:t>(WA) section</w:t>
      </w:r>
      <w:r w:rsidRPr="00BD539C">
        <w:rPr>
          <w:spacing w:val="-18"/>
          <w:szCs w:val="17"/>
        </w:rPr>
        <w:t xml:space="preserve"> </w:t>
      </w:r>
      <w:r w:rsidRPr="00BD539C">
        <w:rPr>
          <w:szCs w:val="17"/>
        </w:rPr>
        <w:t>8(m).</w:t>
      </w:r>
    </w:p>
  </w:footnote>
  <w:footnote w:id="9">
    <w:p w14:paraId="248D73E0" w14:textId="77777777" w:rsidR="00260D97" w:rsidRPr="00BD539C" w:rsidRDefault="00260D97" w:rsidP="00260D97">
      <w:pPr>
        <w:tabs>
          <w:tab w:val="left" w:pos="1728"/>
        </w:tabs>
        <w:ind w:left="142" w:right="567" w:hanging="142"/>
        <w:rPr>
          <w:szCs w:val="17"/>
        </w:rPr>
      </w:pPr>
      <w:r w:rsidRPr="00BD539C">
        <w:rPr>
          <w:rStyle w:val="FootnoteReference"/>
          <w:szCs w:val="17"/>
        </w:rPr>
        <w:footnoteRef/>
      </w:r>
      <w:r w:rsidRPr="00BD539C">
        <w:rPr>
          <w:szCs w:val="17"/>
        </w:rPr>
        <w:tab/>
      </w:r>
      <w:r w:rsidRPr="00BD539C">
        <w:rPr>
          <w:i/>
          <w:szCs w:val="17"/>
        </w:rPr>
        <w:t>Legal</w:t>
      </w:r>
      <w:r w:rsidRPr="00BD539C">
        <w:rPr>
          <w:i/>
          <w:spacing w:val="-5"/>
          <w:szCs w:val="17"/>
        </w:rPr>
        <w:t xml:space="preserve"> </w:t>
      </w:r>
      <w:r w:rsidRPr="00BD539C">
        <w:rPr>
          <w:i/>
          <w:szCs w:val="17"/>
        </w:rPr>
        <w:t>Profession</w:t>
      </w:r>
      <w:r w:rsidRPr="00BD539C">
        <w:rPr>
          <w:i/>
          <w:spacing w:val="-1"/>
          <w:szCs w:val="17"/>
        </w:rPr>
        <w:t xml:space="preserve"> </w:t>
      </w:r>
      <w:r w:rsidRPr="00BD539C">
        <w:rPr>
          <w:i/>
          <w:szCs w:val="17"/>
        </w:rPr>
        <w:t>Act</w:t>
      </w:r>
      <w:r w:rsidRPr="00BD539C">
        <w:rPr>
          <w:i/>
          <w:spacing w:val="-5"/>
          <w:szCs w:val="17"/>
        </w:rPr>
        <w:t xml:space="preserve"> </w:t>
      </w:r>
      <w:r w:rsidRPr="00BD539C">
        <w:rPr>
          <w:i/>
          <w:szCs w:val="17"/>
        </w:rPr>
        <w:t>2006</w:t>
      </w:r>
      <w:r w:rsidRPr="00BD539C">
        <w:rPr>
          <w:i/>
          <w:spacing w:val="-3"/>
          <w:szCs w:val="17"/>
        </w:rPr>
        <w:t xml:space="preserve"> </w:t>
      </w:r>
      <w:r w:rsidRPr="00BD539C">
        <w:rPr>
          <w:szCs w:val="17"/>
        </w:rPr>
        <w:t>(ACT)</w:t>
      </w:r>
      <w:r w:rsidRPr="00BD539C">
        <w:rPr>
          <w:spacing w:val="-4"/>
          <w:szCs w:val="17"/>
        </w:rPr>
        <w:t xml:space="preserve"> </w:t>
      </w:r>
      <w:r w:rsidRPr="00BD539C">
        <w:rPr>
          <w:szCs w:val="17"/>
        </w:rPr>
        <w:t>section</w:t>
      </w:r>
      <w:r w:rsidRPr="00BD539C">
        <w:rPr>
          <w:spacing w:val="-1"/>
          <w:szCs w:val="17"/>
        </w:rPr>
        <w:t xml:space="preserve"> </w:t>
      </w:r>
      <w:r w:rsidRPr="00BD539C">
        <w:rPr>
          <w:szCs w:val="17"/>
        </w:rPr>
        <w:t xml:space="preserve">22(2); </w:t>
      </w:r>
      <w:r w:rsidRPr="00BD539C">
        <w:rPr>
          <w:i/>
          <w:szCs w:val="17"/>
        </w:rPr>
        <w:t>Legal</w:t>
      </w:r>
      <w:r w:rsidRPr="00BD539C">
        <w:rPr>
          <w:i/>
          <w:spacing w:val="-10"/>
          <w:szCs w:val="17"/>
        </w:rPr>
        <w:t xml:space="preserve"> </w:t>
      </w:r>
      <w:r w:rsidRPr="00BD539C">
        <w:rPr>
          <w:i/>
          <w:szCs w:val="17"/>
        </w:rPr>
        <w:t>Profession</w:t>
      </w:r>
      <w:r w:rsidRPr="00BD539C">
        <w:rPr>
          <w:i/>
          <w:spacing w:val="-5"/>
          <w:szCs w:val="17"/>
        </w:rPr>
        <w:t xml:space="preserve"> </w:t>
      </w:r>
      <w:r w:rsidRPr="00BD539C">
        <w:rPr>
          <w:i/>
          <w:szCs w:val="17"/>
        </w:rPr>
        <w:t xml:space="preserve">Act 2006 </w:t>
      </w:r>
      <w:r w:rsidRPr="00BD539C">
        <w:rPr>
          <w:szCs w:val="17"/>
        </w:rPr>
        <w:t>(NT)</w:t>
      </w:r>
      <w:r w:rsidRPr="00BD539C">
        <w:rPr>
          <w:spacing w:val="-4"/>
          <w:szCs w:val="17"/>
        </w:rPr>
        <w:t xml:space="preserve"> </w:t>
      </w:r>
      <w:r w:rsidRPr="00BD539C">
        <w:rPr>
          <w:szCs w:val="17"/>
        </w:rPr>
        <w:t>section</w:t>
      </w:r>
      <w:r w:rsidRPr="00BD539C">
        <w:rPr>
          <w:spacing w:val="-1"/>
          <w:szCs w:val="17"/>
        </w:rPr>
        <w:t xml:space="preserve"> </w:t>
      </w:r>
      <w:r w:rsidRPr="00BD539C">
        <w:rPr>
          <w:szCs w:val="17"/>
        </w:rPr>
        <w:t>30(1)(b);</w:t>
      </w:r>
      <w:r w:rsidRPr="00BD539C">
        <w:rPr>
          <w:spacing w:val="2"/>
          <w:szCs w:val="17"/>
        </w:rPr>
        <w:t xml:space="preserve"> </w:t>
      </w:r>
      <w:r w:rsidRPr="00BD539C">
        <w:rPr>
          <w:i/>
          <w:szCs w:val="17"/>
        </w:rPr>
        <w:t>Legal</w:t>
      </w:r>
      <w:r w:rsidRPr="00BD539C">
        <w:rPr>
          <w:i/>
          <w:spacing w:val="-5"/>
          <w:szCs w:val="17"/>
        </w:rPr>
        <w:t xml:space="preserve"> </w:t>
      </w:r>
      <w:r w:rsidRPr="00BD539C">
        <w:rPr>
          <w:i/>
          <w:szCs w:val="17"/>
        </w:rPr>
        <w:t>Profession</w:t>
      </w:r>
      <w:r w:rsidRPr="00BD539C">
        <w:rPr>
          <w:i/>
          <w:w w:val="98"/>
          <w:szCs w:val="17"/>
        </w:rPr>
        <w:t xml:space="preserve"> </w:t>
      </w:r>
      <w:r w:rsidRPr="00BD539C">
        <w:rPr>
          <w:i/>
          <w:szCs w:val="17"/>
        </w:rPr>
        <w:t>Act</w:t>
      </w:r>
      <w:r>
        <w:rPr>
          <w:i/>
          <w:szCs w:val="17"/>
        </w:rPr>
        <w:t xml:space="preserve"> </w:t>
      </w:r>
      <w:r w:rsidRPr="00BD539C">
        <w:rPr>
          <w:i/>
          <w:szCs w:val="17"/>
        </w:rPr>
        <w:t xml:space="preserve">2007 </w:t>
      </w:r>
      <w:r w:rsidRPr="00BD539C">
        <w:rPr>
          <w:szCs w:val="17"/>
        </w:rPr>
        <w:t xml:space="preserve">(Tas) section 26(1)(b); </w:t>
      </w:r>
      <w:r w:rsidRPr="00BD539C">
        <w:rPr>
          <w:i/>
          <w:szCs w:val="17"/>
        </w:rPr>
        <w:t xml:space="preserve">Legal Profession Act 2004 </w:t>
      </w:r>
      <w:r w:rsidRPr="00BD539C">
        <w:rPr>
          <w:szCs w:val="17"/>
        </w:rPr>
        <w:t xml:space="preserve">(Vic) section 2.3.3(1)(b); </w:t>
      </w:r>
      <w:r w:rsidRPr="00BD539C">
        <w:rPr>
          <w:i/>
          <w:szCs w:val="17"/>
        </w:rPr>
        <w:t>Legal Profession Act</w:t>
      </w:r>
      <w:r w:rsidRPr="00BD539C">
        <w:rPr>
          <w:i/>
          <w:spacing w:val="-29"/>
          <w:szCs w:val="17"/>
        </w:rPr>
        <w:t xml:space="preserve"> </w:t>
      </w:r>
      <w:r w:rsidRPr="00BD539C">
        <w:rPr>
          <w:i/>
          <w:szCs w:val="17"/>
        </w:rPr>
        <w:t>2008</w:t>
      </w:r>
      <w:r w:rsidRPr="00BD539C">
        <w:rPr>
          <w:i/>
          <w:w w:val="99"/>
          <w:szCs w:val="17"/>
        </w:rPr>
        <w:t xml:space="preserve"> </w:t>
      </w:r>
      <w:r w:rsidRPr="00BD539C">
        <w:rPr>
          <w:szCs w:val="17"/>
        </w:rPr>
        <w:t>(WA)</w:t>
      </w:r>
      <w:r>
        <w:rPr>
          <w:szCs w:val="17"/>
        </w:rPr>
        <w:t xml:space="preserve"> </w:t>
      </w:r>
      <w:r w:rsidRPr="00BD539C">
        <w:rPr>
          <w:szCs w:val="17"/>
        </w:rPr>
        <w:t xml:space="preserve">section 22(1)(b). Section 31(2)(b) </w:t>
      </w:r>
      <w:r w:rsidRPr="00BD539C">
        <w:rPr>
          <w:spacing w:val="-4"/>
          <w:szCs w:val="17"/>
        </w:rPr>
        <w:t xml:space="preserve">of </w:t>
      </w:r>
      <w:r w:rsidRPr="00BD539C">
        <w:rPr>
          <w:i/>
          <w:szCs w:val="17"/>
        </w:rPr>
        <w:t xml:space="preserve">the Legal Profession Act 2007 </w:t>
      </w:r>
      <w:r w:rsidRPr="00BD539C">
        <w:rPr>
          <w:szCs w:val="17"/>
        </w:rPr>
        <w:t xml:space="preserve">(Qld) and section 17(2)(a) </w:t>
      </w:r>
      <w:r w:rsidRPr="00BD539C">
        <w:rPr>
          <w:spacing w:val="-4"/>
          <w:szCs w:val="17"/>
        </w:rPr>
        <w:t xml:space="preserve">of </w:t>
      </w:r>
      <w:r w:rsidRPr="00BD539C">
        <w:rPr>
          <w:szCs w:val="17"/>
        </w:rPr>
        <w:t>the</w:t>
      </w:r>
      <w:r w:rsidRPr="00BD539C">
        <w:rPr>
          <w:spacing w:val="-3"/>
          <w:szCs w:val="17"/>
        </w:rPr>
        <w:t xml:space="preserve"> </w:t>
      </w:r>
      <w:r w:rsidRPr="00BD539C">
        <w:rPr>
          <w:i/>
          <w:szCs w:val="17"/>
        </w:rPr>
        <w:t>Legal</w:t>
      </w:r>
      <w:r w:rsidRPr="00BD539C">
        <w:rPr>
          <w:i/>
          <w:w w:val="98"/>
          <w:szCs w:val="17"/>
        </w:rPr>
        <w:t xml:space="preserve"> </w:t>
      </w:r>
      <w:r w:rsidRPr="00BD539C">
        <w:rPr>
          <w:i/>
          <w:szCs w:val="17"/>
        </w:rPr>
        <w:t>Profession</w:t>
      </w:r>
      <w:r>
        <w:rPr>
          <w:i/>
          <w:szCs w:val="17"/>
        </w:rPr>
        <w:t xml:space="preserve"> </w:t>
      </w:r>
      <w:r w:rsidRPr="00BD539C">
        <w:rPr>
          <w:i/>
          <w:szCs w:val="17"/>
        </w:rPr>
        <w:t xml:space="preserve">Uniform Law </w:t>
      </w:r>
      <w:r w:rsidRPr="00BD539C">
        <w:rPr>
          <w:szCs w:val="17"/>
        </w:rPr>
        <w:t>(NSW &amp; Vic) are in similar, though not identical,</w:t>
      </w:r>
      <w:r w:rsidRPr="00BD539C">
        <w:rPr>
          <w:spacing w:val="-24"/>
          <w:szCs w:val="17"/>
        </w:rPr>
        <w:t xml:space="preserve"> </w:t>
      </w:r>
      <w:r w:rsidRPr="00BD539C">
        <w:rPr>
          <w:szCs w:val="17"/>
        </w:rPr>
        <w:t>terms.</w:t>
      </w:r>
    </w:p>
  </w:footnote>
  <w:footnote w:id="10">
    <w:p w14:paraId="61A323AD" w14:textId="77777777" w:rsidR="00260D97" w:rsidRPr="00BD539C" w:rsidRDefault="00260D97" w:rsidP="00260D97">
      <w:pPr>
        <w:ind w:left="142" w:right="567" w:hanging="142"/>
        <w:rPr>
          <w:szCs w:val="17"/>
        </w:rPr>
      </w:pPr>
      <w:r w:rsidRPr="00BD539C">
        <w:rPr>
          <w:rStyle w:val="footnotemark"/>
          <w:szCs w:val="17"/>
        </w:rPr>
        <w:footnoteRef/>
      </w:r>
      <w:r w:rsidRPr="00BD539C">
        <w:rPr>
          <w:szCs w:val="17"/>
        </w:rPr>
        <w:tab/>
        <w:t>LACC’S Charter is approved by the Council of Chief Justices which also appoints its Chair. LACC is not, however, a committee of the Council, nor does it act on the Council’s behalf.</w:t>
      </w:r>
    </w:p>
  </w:footnote>
  <w:footnote w:id="11">
    <w:p w14:paraId="4A9C92BE" w14:textId="77777777" w:rsidR="00260D97" w:rsidRPr="00BD539C" w:rsidRDefault="00260D97" w:rsidP="00260D97">
      <w:pPr>
        <w:tabs>
          <w:tab w:val="left" w:pos="1728"/>
        </w:tabs>
        <w:ind w:left="142" w:right="567" w:hanging="142"/>
        <w:rPr>
          <w:szCs w:val="17"/>
        </w:rPr>
      </w:pPr>
      <w:r w:rsidRPr="00BD539C">
        <w:rPr>
          <w:rStyle w:val="footnotemark"/>
          <w:szCs w:val="17"/>
        </w:rPr>
        <w:footnoteRef/>
      </w:r>
      <w:r w:rsidRPr="00BD539C">
        <w:rPr>
          <w:szCs w:val="17"/>
        </w:rPr>
        <w:tab/>
      </w:r>
      <w:r w:rsidRPr="00F8639B">
        <w:rPr>
          <w:i/>
          <w:spacing w:val="-2"/>
          <w:szCs w:val="17"/>
        </w:rPr>
        <w:t xml:space="preserve">Legal Practitioners Act 1981 </w:t>
      </w:r>
      <w:r w:rsidRPr="00F8639B">
        <w:rPr>
          <w:spacing w:val="-2"/>
          <w:szCs w:val="17"/>
        </w:rPr>
        <w:t xml:space="preserve">(SA) section 15(1)(a); </w:t>
      </w:r>
      <w:r w:rsidRPr="00F8639B">
        <w:rPr>
          <w:i/>
          <w:spacing w:val="-2"/>
          <w:szCs w:val="17"/>
        </w:rPr>
        <w:t>Legal Profession Act 2006</w:t>
      </w:r>
      <w:r w:rsidRPr="00F8639B">
        <w:rPr>
          <w:spacing w:val="-2"/>
          <w:szCs w:val="17"/>
        </w:rPr>
        <w:t xml:space="preserve"> (ACT) section 26(2)(b); </w:t>
      </w:r>
      <w:r w:rsidRPr="00F8639B">
        <w:rPr>
          <w:i/>
          <w:spacing w:val="-2"/>
          <w:szCs w:val="17"/>
        </w:rPr>
        <w:t>Legal Profession Act 2006</w:t>
      </w:r>
      <w:r w:rsidRPr="00BD539C">
        <w:rPr>
          <w:szCs w:val="17"/>
        </w:rPr>
        <w:t xml:space="preserve"> (NT) section 25(2)(b); </w:t>
      </w:r>
      <w:r w:rsidRPr="00BD539C">
        <w:rPr>
          <w:i/>
          <w:szCs w:val="17"/>
        </w:rPr>
        <w:t xml:space="preserve">Legal Profession Act 2007 </w:t>
      </w:r>
      <w:r w:rsidRPr="00BD539C">
        <w:rPr>
          <w:szCs w:val="17"/>
        </w:rPr>
        <w:t xml:space="preserve">(Qld) section 35(2)(a)(ii); </w:t>
      </w:r>
      <w:r w:rsidRPr="00BD539C">
        <w:rPr>
          <w:i/>
          <w:szCs w:val="17"/>
        </w:rPr>
        <w:t xml:space="preserve">Legal Profession Act 2007 </w:t>
      </w:r>
      <w:r w:rsidRPr="00BD539C">
        <w:rPr>
          <w:szCs w:val="17"/>
        </w:rPr>
        <w:t>(Tas) section</w:t>
      </w:r>
      <w:r>
        <w:rPr>
          <w:szCs w:val="17"/>
        </w:rPr>
        <w:t> </w:t>
      </w:r>
      <w:r w:rsidRPr="00BD539C">
        <w:rPr>
          <w:szCs w:val="17"/>
        </w:rPr>
        <w:t>31(6)(b); Legal Profession Uniform Law</w:t>
      </w:r>
      <w:r w:rsidRPr="00BD539C">
        <w:rPr>
          <w:i/>
          <w:szCs w:val="17"/>
        </w:rPr>
        <w:t xml:space="preserve"> </w:t>
      </w:r>
      <w:r w:rsidRPr="00BD539C">
        <w:rPr>
          <w:szCs w:val="17"/>
        </w:rPr>
        <w:t>(NSW, Vic,</w:t>
      </w:r>
      <w:r w:rsidRPr="00BD539C">
        <w:rPr>
          <w:color w:val="FF0000"/>
          <w:szCs w:val="17"/>
        </w:rPr>
        <w:t xml:space="preserve"> </w:t>
      </w:r>
      <w:r w:rsidRPr="00BD539C">
        <w:rPr>
          <w:szCs w:val="17"/>
        </w:rPr>
        <w:t>WA) section 17(1)(c).</w:t>
      </w:r>
    </w:p>
  </w:footnote>
  <w:footnote w:id="12">
    <w:p w14:paraId="73B65644" w14:textId="77777777" w:rsidR="00260D97" w:rsidRPr="00BD539C" w:rsidRDefault="00260D97" w:rsidP="00260D97">
      <w:pPr>
        <w:tabs>
          <w:tab w:val="left" w:pos="1728"/>
        </w:tabs>
        <w:ind w:left="142" w:right="567" w:hanging="142"/>
        <w:rPr>
          <w:szCs w:val="17"/>
        </w:rPr>
      </w:pPr>
      <w:r w:rsidRPr="00BD539C">
        <w:rPr>
          <w:rStyle w:val="footnotemark"/>
          <w:szCs w:val="17"/>
        </w:rPr>
        <w:footnoteRef/>
      </w:r>
      <w:r w:rsidRPr="00BD539C">
        <w:rPr>
          <w:szCs w:val="17"/>
        </w:rPr>
        <w:tab/>
      </w:r>
      <w:r w:rsidRPr="00BD539C">
        <w:rPr>
          <w:i/>
          <w:szCs w:val="17"/>
        </w:rPr>
        <w:t>Legal Profession Act 2006</w:t>
      </w:r>
      <w:r w:rsidRPr="00BD539C">
        <w:rPr>
          <w:szCs w:val="17"/>
        </w:rPr>
        <w:t xml:space="preserve"> (ACT) section 11(1)(a); </w:t>
      </w:r>
      <w:r w:rsidRPr="00BD539C">
        <w:rPr>
          <w:i/>
          <w:szCs w:val="17"/>
        </w:rPr>
        <w:t>Legal Profession Act 2006</w:t>
      </w:r>
      <w:r w:rsidRPr="00BD539C">
        <w:rPr>
          <w:szCs w:val="17"/>
        </w:rPr>
        <w:t xml:space="preserve"> (NT) section 11(1)(a); </w:t>
      </w:r>
      <w:r w:rsidRPr="00BD539C">
        <w:rPr>
          <w:i/>
          <w:szCs w:val="17"/>
        </w:rPr>
        <w:t>Legal Profession Act 2007</w:t>
      </w:r>
      <w:r w:rsidRPr="00BD539C">
        <w:rPr>
          <w:szCs w:val="17"/>
        </w:rPr>
        <w:t xml:space="preserve"> (Qld) section 9(1)(a); </w:t>
      </w:r>
      <w:r w:rsidRPr="00BD539C">
        <w:rPr>
          <w:i/>
          <w:szCs w:val="17"/>
        </w:rPr>
        <w:t>Legal Profession Act 2007</w:t>
      </w:r>
      <w:r w:rsidRPr="00BD539C">
        <w:rPr>
          <w:szCs w:val="17"/>
        </w:rPr>
        <w:t xml:space="preserve"> (Tas) section 9(1)(a); Legal Profession Uniform Admission Rules 2015 (NSW, Vic, WA) rule 10(1)(f).</w:t>
      </w:r>
    </w:p>
  </w:footnote>
  <w:footnote w:id="13">
    <w:p w14:paraId="35186757" w14:textId="77777777" w:rsidR="00260D97" w:rsidRPr="00BD539C" w:rsidRDefault="00260D97" w:rsidP="00260D97">
      <w:pPr>
        <w:tabs>
          <w:tab w:val="left" w:pos="1728"/>
        </w:tabs>
        <w:ind w:left="142" w:right="567" w:hanging="142"/>
        <w:rPr>
          <w:szCs w:val="17"/>
        </w:rPr>
      </w:pPr>
      <w:r w:rsidRPr="00BD539C">
        <w:rPr>
          <w:rStyle w:val="footnotemark"/>
          <w:szCs w:val="17"/>
        </w:rPr>
        <w:footnoteRef/>
      </w:r>
      <w:r w:rsidRPr="00BD539C">
        <w:rPr>
          <w:szCs w:val="17"/>
        </w:rPr>
        <w:tab/>
      </w:r>
      <w:r w:rsidRPr="00BD539C">
        <w:rPr>
          <w:i/>
          <w:szCs w:val="17"/>
        </w:rPr>
        <w:t>Frugtniet v Board of Examiners</w:t>
      </w:r>
      <w:r w:rsidRPr="00BD539C">
        <w:rPr>
          <w:szCs w:val="17"/>
        </w:rPr>
        <w:t xml:space="preserve"> [2002] VSC 140 per Pagone J.</w:t>
      </w:r>
    </w:p>
  </w:footnote>
  <w:footnote w:id="14">
    <w:p w14:paraId="0441392B" w14:textId="77777777" w:rsidR="00260D97" w:rsidRPr="00245DBA" w:rsidRDefault="00260D97" w:rsidP="00260D97">
      <w:pPr>
        <w:ind w:left="142" w:right="567" w:hanging="142"/>
        <w:rPr>
          <w:rFonts w:eastAsia="Cambria"/>
          <w:szCs w:val="17"/>
        </w:rPr>
      </w:pPr>
      <w:r w:rsidRPr="00BD539C">
        <w:rPr>
          <w:rStyle w:val="footnotemark"/>
          <w:szCs w:val="17"/>
        </w:rPr>
        <w:footnoteRef/>
      </w:r>
      <w:r w:rsidRPr="00BD539C">
        <w:rPr>
          <w:szCs w:val="17"/>
        </w:rPr>
        <w:tab/>
      </w:r>
      <w:r w:rsidRPr="00BD539C">
        <w:rPr>
          <w:i/>
          <w:szCs w:val="17"/>
        </w:rPr>
        <w:t>Frugtniet v Board of Examiners</w:t>
      </w:r>
      <w:r w:rsidRPr="00BD539C">
        <w:rPr>
          <w:szCs w:val="17"/>
        </w:rPr>
        <w:t xml:space="preserve"> [2002] VSC 140, per Pagone J.</w:t>
      </w:r>
    </w:p>
  </w:footnote>
  <w:footnote w:id="15">
    <w:p w14:paraId="553AE1D0" w14:textId="77777777" w:rsidR="00260D97" w:rsidRPr="00BD539C" w:rsidRDefault="00260D97" w:rsidP="00260D97">
      <w:pPr>
        <w:tabs>
          <w:tab w:val="left" w:pos="1728"/>
        </w:tabs>
        <w:ind w:left="142" w:right="567" w:hanging="142"/>
        <w:rPr>
          <w:szCs w:val="17"/>
        </w:rPr>
      </w:pPr>
      <w:r w:rsidRPr="00BD539C">
        <w:rPr>
          <w:rStyle w:val="footnotemark"/>
          <w:szCs w:val="17"/>
        </w:rPr>
        <w:footnoteRef/>
      </w:r>
      <w:r w:rsidRPr="00BD539C">
        <w:rPr>
          <w:szCs w:val="17"/>
        </w:rPr>
        <w:tab/>
        <w:t xml:space="preserve">By way of illustration, in </w:t>
      </w:r>
      <w:r w:rsidRPr="00BD539C">
        <w:rPr>
          <w:i/>
          <w:szCs w:val="17"/>
        </w:rPr>
        <w:t>XY v Board of Examiners</w:t>
      </w:r>
      <w:r w:rsidRPr="00BD539C">
        <w:rPr>
          <w:szCs w:val="17"/>
        </w:rPr>
        <w:t xml:space="preserve"> [2005] VSC 250, Habersberger J found that an applicant was under a duty to disclose that a volunteer position had been terminated as a result of making offensive remarks to a fellow worker and that she was also required to disclose property damage she had caused at a meditation retreat, notwithstanding that charges were not laid.</w:t>
      </w:r>
    </w:p>
  </w:footnote>
  <w:footnote w:id="16">
    <w:p w14:paraId="4EF5D56F" w14:textId="77777777" w:rsidR="00260D97" w:rsidRPr="00BD539C" w:rsidRDefault="00260D97" w:rsidP="00260D97">
      <w:pPr>
        <w:tabs>
          <w:tab w:val="left" w:pos="1728"/>
        </w:tabs>
        <w:ind w:left="142" w:right="567" w:hanging="142"/>
        <w:rPr>
          <w:szCs w:val="17"/>
        </w:rPr>
      </w:pPr>
      <w:r w:rsidRPr="00BD539C">
        <w:rPr>
          <w:rStyle w:val="footnotemark"/>
          <w:szCs w:val="17"/>
        </w:rPr>
        <w:footnoteRef/>
      </w:r>
      <w:r w:rsidRPr="00BD539C">
        <w:rPr>
          <w:szCs w:val="17"/>
        </w:rPr>
        <w:tab/>
      </w:r>
      <w:r w:rsidRPr="00BD539C">
        <w:rPr>
          <w:i/>
          <w:szCs w:val="17"/>
        </w:rPr>
        <w:t xml:space="preserve">Legal Profession Act 2006 </w:t>
      </w:r>
      <w:r w:rsidRPr="00BD539C">
        <w:rPr>
          <w:szCs w:val="17"/>
        </w:rPr>
        <w:t xml:space="preserve">(ACT) section 11(n); </w:t>
      </w:r>
      <w:r w:rsidRPr="00BD539C">
        <w:rPr>
          <w:i/>
          <w:szCs w:val="17"/>
        </w:rPr>
        <w:t>Legal Profession Act 2007</w:t>
      </w:r>
      <w:r w:rsidRPr="00BD539C">
        <w:rPr>
          <w:szCs w:val="17"/>
        </w:rPr>
        <w:t xml:space="preserve"> (Qld) section 9(1)(o); </w:t>
      </w:r>
      <w:r w:rsidRPr="00BD539C">
        <w:rPr>
          <w:i/>
          <w:szCs w:val="17"/>
        </w:rPr>
        <w:t xml:space="preserve">Legal Profession Act 2007 </w:t>
      </w:r>
      <w:r w:rsidRPr="00BD539C">
        <w:rPr>
          <w:szCs w:val="17"/>
        </w:rPr>
        <w:t>(Tas) section</w:t>
      </w:r>
      <w:r>
        <w:rPr>
          <w:szCs w:val="17"/>
        </w:rPr>
        <w:t> </w:t>
      </w:r>
      <w:r w:rsidRPr="00BD539C">
        <w:rPr>
          <w:szCs w:val="17"/>
        </w:rPr>
        <w:t>9(1)(m); Legal Profession Uniform Admission Rules 2015 (NSW, Vic, WA) rule 10(1)(k).</w:t>
      </w:r>
    </w:p>
  </w:footnote>
  <w:footnote w:id="17">
    <w:p w14:paraId="4809DA3E" w14:textId="77777777" w:rsidR="00260D97" w:rsidRPr="00BD539C" w:rsidRDefault="00260D97" w:rsidP="00260D97">
      <w:pPr>
        <w:tabs>
          <w:tab w:val="left" w:pos="1728"/>
        </w:tabs>
        <w:ind w:left="142" w:right="567" w:hanging="142"/>
        <w:rPr>
          <w:szCs w:val="17"/>
        </w:rPr>
      </w:pPr>
      <w:r w:rsidRPr="00BD539C">
        <w:rPr>
          <w:rStyle w:val="FootnoteReference"/>
          <w:szCs w:val="17"/>
        </w:rPr>
        <w:footnoteRef/>
      </w:r>
      <w:r w:rsidRPr="00BD539C">
        <w:rPr>
          <w:szCs w:val="17"/>
        </w:rPr>
        <w:tab/>
      </w:r>
      <w:r w:rsidRPr="00BD539C">
        <w:rPr>
          <w:i/>
          <w:szCs w:val="17"/>
        </w:rPr>
        <w:t xml:space="preserve">Legal Profession Act 2006 </w:t>
      </w:r>
      <w:r w:rsidRPr="00BD539C">
        <w:rPr>
          <w:iCs/>
          <w:szCs w:val="17"/>
        </w:rPr>
        <w:t>(NT) section 11(1)(m).</w:t>
      </w:r>
    </w:p>
  </w:footnote>
  <w:footnote w:id="18">
    <w:p w14:paraId="3D064AF9" w14:textId="77777777" w:rsidR="00260D97" w:rsidRPr="00BD539C" w:rsidRDefault="00260D97" w:rsidP="00260D97">
      <w:pPr>
        <w:tabs>
          <w:tab w:val="left" w:pos="1728"/>
        </w:tabs>
        <w:ind w:left="142" w:right="567" w:hanging="142"/>
        <w:rPr>
          <w:szCs w:val="17"/>
        </w:rPr>
      </w:pPr>
      <w:r w:rsidRPr="00BD539C">
        <w:rPr>
          <w:rStyle w:val="footnotemark"/>
          <w:szCs w:val="17"/>
        </w:rPr>
        <w:footnoteRef/>
      </w:r>
      <w:bookmarkStart w:id="49" w:name="_Hlk188623651"/>
      <w:r w:rsidRPr="00BD539C">
        <w:rPr>
          <w:szCs w:val="17"/>
        </w:rPr>
        <w:tab/>
      </w:r>
      <w:r w:rsidRPr="00BD539C">
        <w:rPr>
          <w:i/>
          <w:szCs w:val="17"/>
        </w:rPr>
        <w:t>Legal Profession Act 2006</w:t>
      </w:r>
      <w:r w:rsidRPr="00BD539C">
        <w:rPr>
          <w:szCs w:val="17"/>
        </w:rPr>
        <w:t xml:space="preserve"> </w:t>
      </w:r>
      <w:bookmarkEnd w:id="49"/>
      <w:r w:rsidRPr="00BD539C">
        <w:rPr>
          <w:szCs w:val="17"/>
        </w:rPr>
        <w:t xml:space="preserve">(ACT) section 22(2); </w:t>
      </w:r>
      <w:r w:rsidRPr="00BD539C">
        <w:rPr>
          <w:i/>
          <w:szCs w:val="17"/>
        </w:rPr>
        <w:t xml:space="preserve">Legal Profession Act 2006 </w:t>
      </w:r>
      <w:r w:rsidRPr="00BD539C">
        <w:rPr>
          <w:szCs w:val="17"/>
        </w:rPr>
        <w:t xml:space="preserve">(NT) section 30(1)(b); </w:t>
      </w:r>
      <w:r w:rsidRPr="00BD539C">
        <w:rPr>
          <w:i/>
          <w:szCs w:val="17"/>
        </w:rPr>
        <w:t>Legal Profession Act 2007</w:t>
      </w:r>
      <w:r w:rsidRPr="00BD539C">
        <w:rPr>
          <w:szCs w:val="17"/>
        </w:rPr>
        <w:t xml:space="preserve"> (Tas) section 26(1)(b). Section 31(2)(b) of the </w:t>
      </w:r>
      <w:r w:rsidRPr="00BD539C">
        <w:rPr>
          <w:i/>
          <w:szCs w:val="17"/>
        </w:rPr>
        <w:t>Legal Profession Act 2007</w:t>
      </w:r>
      <w:r w:rsidRPr="00BD539C">
        <w:rPr>
          <w:szCs w:val="17"/>
        </w:rPr>
        <w:t xml:space="preserve"> (Qld) and section 17(2)(a) of the Legal Profession Uniform Law (NSW, Vic, WA) are in similar, though not identical, terms.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6A8C7"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1195ADB1"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36351925"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5ED4"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B3090"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0A52C62E"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2489793A"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AC97B"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677C" w14:textId="1BFCE7F1" w:rsidR="00C25241" w:rsidRDefault="006A510F" w:rsidP="0049287C">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7B1CFA">
      <w:rPr>
        <w:rFonts w:eastAsia="Times New Roman"/>
        <w:sz w:val="21"/>
        <w:szCs w:val="21"/>
      </w:rPr>
      <w:t>12</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7B1CFA">
      <w:rPr>
        <w:rFonts w:eastAsia="Times New Roman"/>
        <w:sz w:val="21"/>
        <w:szCs w:val="21"/>
      </w:rPr>
      <w:t>27</w:t>
    </w:r>
    <w:r w:rsidR="00A55207">
      <w:rPr>
        <w:rFonts w:eastAsia="Times New Roman"/>
        <w:sz w:val="21"/>
        <w:szCs w:val="21"/>
      </w:rPr>
      <w:t xml:space="preserve"> </w:t>
    </w:r>
    <w:r w:rsidR="007B1CFA">
      <w:rPr>
        <w:rFonts w:eastAsia="Times New Roman"/>
        <w:sz w:val="21"/>
        <w:szCs w:val="21"/>
      </w:rPr>
      <w:t>February</w:t>
    </w:r>
    <w:r w:rsidR="00C9018A" w:rsidRPr="00C9018A">
      <w:rPr>
        <w:rFonts w:eastAsia="Times New Roman"/>
        <w:sz w:val="21"/>
        <w:szCs w:val="21"/>
      </w:rPr>
      <w:t xml:space="preserve"> 20</w:t>
    </w:r>
    <w:r>
      <w:rPr>
        <w:rFonts w:eastAsia="Times New Roman"/>
        <w:sz w:val="21"/>
        <w:szCs w:val="21"/>
      </w:rPr>
      <w:t>2</w:t>
    </w:r>
    <w:r w:rsidR="007B1CFA">
      <w:rPr>
        <w:rFonts w:eastAsia="Times New Roman"/>
        <w:sz w:val="21"/>
        <w:szCs w:val="21"/>
      </w:rPr>
      <w:t>5</w:t>
    </w:r>
  </w:p>
  <w:p w14:paraId="0580F9E2" w14:textId="77777777" w:rsidR="0049287C" w:rsidRPr="0049287C" w:rsidRDefault="0049287C" w:rsidP="0049287C">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19629" w14:textId="338BB774" w:rsidR="00C25241" w:rsidRPr="00C25241" w:rsidRDefault="007B1CFA"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27</w:t>
    </w:r>
    <w:r w:rsidR="00A55207" w:rsidRPr="00A55207">
      <w:rPr>
        <w:rFonts w:eastAsia="Times New Roman"/>
        <w:sz w:val="21"/>
        <w:szCs w:val="21"/>
      </w:rPr>
      <w:t xml:space="preserve"> </w:t>
    </w:r>
    <w:r>
      <w:rPr>
        <w:rFonts w:eastAsia="Times New Roman"/>
        <w:sz w:val="21"/>
        <w:szCs w:val="21"/>
      </w:rPr>
      <w:t>February</w:t>
    </w:r>
    <w:r w:rsidR="00A55207" w:rsidRPr="00A55207">
      <w:rPr>
        <w:rFonts w:eastAsia="Times New Roman"/>
        <w:sz w:val="21"/>
        <w:szCs w:val="21"/>
      </w:rPr>
      <w:t xml:space="preserve"> 20</w:t>
    </w:r>
    <w:r w:rsidR="006A510F">
      <w:rPr>
        <w:rFonts w:eastAsia="Times New Roman"/>
        <w:sz w:val="21"/>
        <w:szCs w:val="21"/>
      </w:rPr>
      <w:t>2</w:t>
    </w:r>
    <w:r>
      <w:rPr>
        <w:rFonts w:eastAsia="Times New Roman"/>
        <w:sz w:val="21"/>
        <w:szCs w:val="21"/>
      </w:rPr>
      <w:t>5</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12</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32DA6F66"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7"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3"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8"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2"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3"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867400400">
    <w:abstractNumId w:val="13"/>
  </w:num>
  <w:num w:numId="2" w16cid:durableId="1463884398">
    <w:abstractNumId w:val="28"/>
  </w:num>
  <w:num w:numId="3" w16cid:durableId="717432456">
    <w:abstractNumId w:val="34"/>
  </w:num>
  <w:num w:numId="4" w16cid:durableId="933633071">
    <w:abstractNumId w:val="38"/>
  </w:num>
  <w:num w:numId="5" w16cid:durableId="2113016512">
    <w:abstractNumId w:val="10"/>
  </w:num>
  <w:num w:numId="6" w16cid:durableId="392316472">
    <w:abstractNumId w:val="32"/>
  </w:num>
  <w:num w:numId="7" w16cid:durableId="21350989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968486">
    <w:abstractNumId w:val="11"/>
  </w:num>
  <w:num w:numId="9" w16cid:durableId="656106639">
    <w:abstractNumId w:val="17"/>
  </w:num>
  <w:num w:numId="10" w16cid:durableId="72096153">
    <w:abstractNumId w:val="18"/>
  </w:num>
  <w:num w:numId="11" w16cid:durableId="167142876">
    <w:abstractNumId w:val="14"/>
  </w:num>
  <w:num w:numId="12" w16cid:durableId="1473214936">
    <w:abstractNumId w:val="25"/>
  </w:num>
  <w:num w:numId="13" w16cid:durableId="589195277">
    <w:abstractNumId w:val="26"/>
  </w:num>
  <w:num w:numId="14" w16cid:durableId="17294554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1748516">
    <w:abstractNumId w:val="24"/>
  </w:num>
  <w:num w:numId="16" w16cid:durableId="971442107">
    <w:abstractNumId w:val="16"/>
  </w:num>
  <w:num w:numId="17" w16cid:durableId="402139188">
    <w:abstractNumId w:val="37"/>
  </w:num>
  <w:num w:numId="18" w16cid:durableId="1556239670">
    <w:abstractNumId w:val="21"/>
  </w:num>
  <w:num w:numId="19" w16cid:durableId="1408722181">
    <w:abstractNumId w:val="12"/>
  </w:num>
  <w:num w:numId="20" w16cid:durableId="1859927023">
    <w:abstractNumId w:val="40"/>
  </w:num>
  <w:num w:numId="21" w16cid:durableId="844245663">
    <w:abstractNumId w:val="41"/>
  </w:num>
  <w:num w:numId="22" w16cid:durableId="792359815">
    <w:abstractNumId w:val="30"/>
  </w:num>
  <w:num w:numId="23" w16cid:durableId="1667587454">
    <w:abstractNumId w:val="39"/>
  </w:num>
  <w:num w:numId="24" w16cid:durableId="191772142">
    <w:abstractNumId w:val="19"/>
  </w:num>
  <w:num w:numId="25" w16cid:durableId="895093725">
    <w:abstractNumId w:val="22"/>
  </w:num>
  <w:num w:numId="26" w16cid:durableId="505560358">
    <w:abstractNumId w:val="20"/>
  </w:num>
  <w:num w:numId="27" w16cid:durableId="211774473">
    <w:abstractNumId w:val="15"/>
  </w:num>
  <w:num w:numId="28" w16cid:durableId="1250235797">
    <w:abstractNumId w:val="42"/>
  </w:num>
  <w:num w:numId="29" w16cid:durableId="337393964">
    <w:abstractNumId w:val="9"/>
  </w:num>
  <w:num w:numId="30" w16cid:durableId="1025525620">
    <w:abstractNumId w:val="7"/>
  </w:num>
  <w:num w:numId="31" w16cid:durableId="1654217676">
    <w:abstractNumId w:val="6"/>
  </w:num>
  <w:num w:numId="32" w16cid:durableId="524943594">
    <w:abstractNumId w:val="5"/>
  </w:num>
  <w:num w:numId="33" w16cid:durableId="363751433">
    <w:abstractNumId w:val="4"/>
  </w:num>
  <w:num w:numId="34" w16cid:durableId="81339235">
    <w:abstractNumId w:val="8"/>
  </w:num>
  <w:num w:numId="35" w16cid:durableId="1990203445">
    <w:abstractNumId w:val="3"/>
  </w:num>
  <w:num w:numId="36" w16cid:durableId="1645819441">
    <w:abstractNumId w:val="2"/>
  </w:num>
  <w:num w:numId="37" w16cid:durableId="2005357922">
    <w:abstractNumId w:val="1"/>
  </w:num>
  <w:num w:numId="38" w16cid:durableId="2087409167">
    <w:abstractNumId w:val="0"/>
  </w:num>
  <w:num w:numId="39" w16cid:durableId="831137671">
    <w:abstractNumId w:val="36"/>
  </w:num>
  <w:num w:numId="40" w16cid:durableId="1999571555">
    <w:abstractNumId w:val="42"/>
  </w:num>
  <w:num w:numId="41" w16cid:durableId="1118531261">
    <w:abstractNumId w:val="35"/>
  </w:num>
  <w:num w:numId="42" w16cid:durableId="1181697939">
    <w:abstractNumId w:val="33"/>
  </w:num>
  <w:num w:numId="43" w16cid:durableId="518545637">
    <w:abstractNumId w:val="27"/>
  </w:num>
  <w:num w:numId="44" w16cid:durableId="1775438055">
    <w:abstractNumId w:val="31"/>
  </w:num>
  <w:num w:numId="45" w16cid:durableId="19616400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160"/>
  <w:evenAndOddHeaders/>
  <w:characterSpacingControl w:val="doNotCompress"/>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36"/>
    <w:rsid w:val="000100A7"/>
    <w:rsid w:val="000163A9"/>
    <w:rsid w:val="0001762C"/>
    <w:rsid w:val="000202A8"/>
    <w:rsid w:val="0002085F"/>
    <w:rsid w:val="000249AC"/>
    <w:rsid w:val="00030270"/>
    <w:rsid w:val="0005659C"/>
    <w:rsid w:val="00063D6D"/>
    <w:rsid w:val="00064C75"/>
    <w:rsid w:val="00066B0B"/>
    <w:rsid w:val="00070016"/>
    <w:rsid w:val="00070E37"/>
    <w:rsid w:val="00081D36"/>
    <w:rsid w:val="000835E8"/>
    <w:rsid w:val="00086CDE"/>
    <w:rsid w:val="0009376E"/>
    <w:rsid w:val="000B0640"/>
    <w:rsid w:val="000B38D1"/>
    <w:rsid w:val="000C1F3D"/>
    <w:rsid w:val="000C5912"/>
    <w:rsid w:val="000D34A3"/>
    <w:rsid w:val="000D35A2"/>
    <w:rsid w:val="000D54A0"/>
    <w:rsid w:val="000E332A"/>
    <w:rsid w:val="000E655C"/>
    <w:rsid w:val="000F0B45"/>
    <w:rsid w:val="000F2CEA"/>
    <w:rsid w:val="00104BC5"/>
    <w:rsid w:val="00110167"/>
    <w:rsid w:val="001169F7"/>
    <w:rsid w:val="00116F04"/>
    <w:rsid w:val="00120922"/>
    <w:rsid w:val="00121D2F"/>
    <w:rsid w:val="00123302"/>
    <w:rsid w:val="0012772C"/>
    <w:rsid w:val="00133D99"/>
    <w:rsid w:val="00147592"/>
    <w:rsid w:val="00153708"/>
    <w:rsid w:val="001572AD"/>
    <w:rsid w:val="001576DB"/>
    <w:rsid w:val="00160CDB"/>
    <w:rsid w:val="0016463B"/>
    <w:rsid w:val="0018240B"/>
    <w:rsid w:val="00183633"/>
    <w:rsid w:val="001A5EE1"/>
    <w:rsid w:val="001A6981"/>
    <w:rsid w:val="001A7A85"/>
    <w:rsid w:val="001B2310"/>
    <w:rsid w:val="001B7138"/>
    <w:rsid w:val="001B79A6"/>
    <w:rsid w:val="001C09DA"/>
    <w:rsid w:val="001D5A30"/>
    <w:rsid w:val="001E668B"/>
    <w:rsid w:val="001E78FF"/>
    <w:rsid w:val="001E7A64"/>
    <w:rsid w:val="00203620"/>
    <w:rsid w:val="00204C2A"/>
    <w:rsid w:val="002113D6"/>
    <w:rsid w:val="002130A5"/>
    <w:rsid w:val="002148EF"/>
    <w:rsid w:val="00222B67"/>
    <w:rsid w:val="00227163"/>
    <w:rsid w:val="00237B08"/>
    <w:rsid w:val="002425EF"/>
    <w:rsid w:val="00251266"/>
    <w:rsid w:val="00251FEE"/>
    <w:rsid w:val="00252039"/>
    <w:rsid w:val="00256C71"/>
    <w:rsid w:val="00260D97"/>
    <w:rsid w:val="00262083"/>
    <w:rsid w:val="00262F8F"/>
    <w:rsid w:val="0026731F"/>
    <w:rsid w:val="00275F32"/>
    <w:rsid w:val="00293061"/>
    <w:rsid w:val="0029410F"/>
    <w:rsid w:val="002949AE"/>
    <w:rsid w:val="002977EE"/>
    <w:rsid w:val="002A0492"/>
    <w:rsid w:val="002A4530"/>
    <w:rsid w:val="002A7F4B"/>
    <w:rsid w:val="002B1AEF"/>
    <w:rsid w:val="002B5584"/>
    <w:rsid w:val="002C219B"/>
    <w:rsid w:val="002C2E97"/>
    <w:rsid w:val="002C751E"/>
    <w:rsid w:val="002C7DF4"/>
    <w:rsid w:val="002D3EE3"/>
    <w:rsid w:val="002D4754"/>
    <w:rsid w:val="002D7735"/>
    <w:rsid w:val="00304833"/>
    <w:rsid w:val="003121EA"/>
    <w:rsid w:val="00314651"/>
    <w:rsid w:val="00322D71"/>
    <w:rsid w:val="00334814"/>
    <w:rsid w:val="0034074D"/>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D0CED"/>
    <w:rsid w:val="003D2332"/>
    <w:rsid w:val="003D5923"/>
    <w:rsid w:val="003E016D"/>
    <w:rsid w:val="003E0181"/>
    <w:rsid w:val="003E2C11"/>
    <w:rsid w:val="003E2F5F"/>
    <w:rsid w:val="003E3565"/>
    <w:rsid w:val="003F4643"/>
    <w:rsid w:val="003F6CE2"/>
    <w:rsid w:val="004120A4"/>
    <w:rsid w:val="0041701B"/>
    <w:rsid w:val="00421804"/>
    <w:rsid w:val="00421F5C"/>
    <w:rsid w:val="0043001F"/>
    <w:rsid w:val="0043387B"/>
    <w:rsid w:val="00435ECE"/>
    <w:rsid w:val="00441E8D"/>
    <w:rsid w:val="0044383E"/>
    <w:rsid w:val="004530F1"/>
    <w:rsid w:val="004535E8"/>
    <w:rsid w:val="00464A8C"/>
    <w:rsid w:val="00472302"/>
    <w:rsid w:val="00475212"/>
    <w:rsid w:val="004872C1"/>
    <w:rsid w:val="00487DCB"/>
    <w:rsid w:val="0049287C"/>
    <w:rsid w:val="004A5341"/>
    <w:rsid w:val="004B1B9B"/>
    <w:rsid w:val="004B39A1"/>
    <w:rsid w:val="004C06D5"/>
    <w:rsid w:val="004C1538"/>
    <w:rsid w:val="004C4DE5"/>
    <w:rsid w:val="004C61AD"/>
    <w:rsid w:val="004D43E8"/>
    <w:rsid w:val="004D7299"/>
    <w:rsid w:val="004E545F"/>
    <w:rsid w:val="004E657B"/>
    <w:rsid w:val="004F01C3"/>
    <w:rsid w:val="004F1085"/>
    <w:rsid w:val="004F13B7"/>
    <w:rsid w:val="004F619A"/>
    <w:rsid w:val="004F7CCF"/>
    <w:rsid w:val="00504D28"/>
    <w:rsid w:val="005115D3"/>
    <w:rsid w:val="005152B8"/>
    <w:rsid w:val="005335F1"/>
    <w:rsid w:val="00535963"/>
    <w:rsid w:val="00540347"/>
    <w:rsid w:val="00540423"/>
    <w:rsid w:val="0054338C"/>
    <w:rsid w:val="00543A79"/>
    <w:rsid w:val="00544893"/>
    <w:rsid w:val="00557A4A"/>
    <w:rsid w:val="005622AC"/>
    <w:rsid w:val="0056267A"/>
    <w:rsid w:val="005956F0"/>
    <w:rsid w:val="005A39D4"/>
    <w:rsid w:val="005A3A1B"/>
    <w:rsid w:val="005A69A9"/>
    <w:rsid w:val="005B4E55"/>
    <w:rsid w:val="005B69B3"/>
    <w:rsid w:val="005C269C"/>
    <w:rsid w:val="005C6C9D"/>
    <w:rsid w:val="005D2091"/>
    <w:rsid w:val="005D24AC"/>
    <w:rsid w:val="005E631C"/>
    <w:rsid w:val="005E7D95"/>
    <w:rsid w:val="005F4618"/>
    <w:rsid w:val="00602B9D"/>
    <w:rsid w:val="00612978"/>
    <w:rsid w:val="00615806"/>
    <w:rsid w:val="0063119A"/>
    <w:rsid w:val="006419CA"/>
    <w:rsid w:val="00645DC8"/>
    <w:rsid w:val="006671B7"/>
    <w:rsid w:val="00670706"/>
    <w:rsid w:val="00671C1C"/>
    <w:rsid w:val="00682532"/>
    <w:rsid w:val="00682F0B"/>
    <w:rsid w:val="00683755"/>
    <w:rsid w:val="00685927"/>
    <w:rsid w:val="00694D0A"/>
    <w:rsid w:val="006974D4"/>
    <w:rsid w:val="006A510F"/>
    <w:rsid w:val="006B561D"/>
    <w:rsid w:val="006B5B96"/>
    <w:rsid w:val="006C5BE8"/>
    <w:rsid w:val="006C7E15"/>
    <w:rsid w:val="006D00AD"/>
    <w:rsid w:val="006D3455"/>
    <w:rsid w:val="006E0C7D"/>
    <w:rsid w:val="006E34C7"/>
    <w:rsid w:val="006E6060"/>
    <w:rsid w:val="006F37C4"/>
    <w:rsid w:val="007004B5"/>
    <w:rsid w:val="00703D70"/>
    <w:rsid w:val="0071453C"/>
    <w:rsid w:val="00724B20"/>
    <w:rsid w:val="00731EA9"/>
    <w:rsid w:val="00732C68"/>
    <w:rsid w:val="00732FC9"/>
    <w:rsid w:val="00737523"/>
    <w:rsid w:val="0075022D"/>
    <w:rsid w:val="0076638C"/>
    <w:rsid w:val="00777F88"/>
    <w:rsid w:val="00783472"/>
    <w:rsid w:val="007850FA"/>
    <w:rsid w:val="007879D2"/>
    <w:rsid w:val="007902CE"/>
    <w:rsid w:val="0079069D"/>
    <w:rsid w:val="007A120B"/>
    <w:rsid w:val="007A37F9"/>
    <w:rsid w:val="007A4399"/>
    <w:rsid w:val="007A5911"/>
    <w:rsid w:val="007B1CFA"/>
    <w:rsid w:val="007B4546"/>
    <w:rsid w:val="007C2C6F"/>
    <w:rsid w:val="007C3E7B"/>
    <w:rsid w:val="007E0F4A"/>
    <w:rsid w:val="007E5D21"/>
    <w:rsid w:val="007F1191"/>
    <w:rsid w:val="0080019C"/>
    <w:rsid w:val="008008DD"/>
    <w:rsid w:val="00802077"/>
    <w:rsid w:val="00822107"/>
    <w:rsid w:val="008226D4"/>
    <w:rsid w:val="008250FE"/>
    <w:rsid w:val="00831BDE"/>
    <w:rsid w:val="00836CCB"/>
    <w:rsid w:val="00854962"/>
    <w:rsid w:val="00867EF2"/>
    <w:rsid w:val="0087395E"/>
    <w:rsid w:val="00891067"/>
    <w:rsid w:val="008A405A"/>
    <w:rsid w:val="008C2BF8"/>
    <w:rsid w:val="008E4F1E"/>
    <w:rsid w:val="00901E82"/>
    <w:rsid w:val="00902C46"/>
    <w:rsid w:val="00903476"/>
    <w:rsid w:val="0090520A"/>
    <w:rsid w:val="00914649"/>
    <w:rsid w:val="00920880"/>
    <w:rsid w:val="00920FFF"/>
    <w:rsid w:val="00921240"/>
    <w:rsid w:val="0093079E"/>
    <w:rsid w:val="00940FA8"/>
    <w:rsid w:val="00947809"/>
    <w:rsid w:val="0095143F"/>
    <w:rsid w:val="00955412"/>
    <w:rsid w:val="00955694"/>
    <w:rsid w:val="009562D8"/>
    <w:rsid w:val="00962B7D"/>
    <w:rsid w:val="00964704"/>
    <w:rsid w:val="00964B4D"/>
    <w:rsid w:val="00974E27"/>
    <w:rsid w:val="009750C8"/>
    <w:rsid w:val="00977C9F"/>
    <w:rsid w:val="00985AEE"/>
    <w:rsid w:val="009A6661"/>
    <w:rsid w:val="009B2C75"/>
    <w:rsid w:val="009B6FDC"/>
    <w:rsid w:val="009B6FFD"/>
    <w:rsid w:val="009C3E3A"/>
    <w:rsid w:val="009C5892"/>
    <w:rsid w:val="009C6388"/>
    <w:rsid w:val="009D1E2E"/>
    <w:rsid w:val="009D586E"/>
    <w:rsid w:val="009E2997"/>
    <w:rsid w:val="009F15D7"/>
    <w:rsid w:val="009F3262"/>
    <w:rsid w:val="009F7976"/>
    <w:rsid w:val="00A00225"/>
    <w:rsid w:val="00A0211B"/>
    <w:rsid w:val="00A25F99"/>
    <w:rsid w:val="00A2611B"/>
    <w:rsid w:val="00A33023"/>
    <w:rsid w:val="00A37EF6"/>
    <w:rsid w:val="00A424A1"/>
    <w:rsid w:val="00A44FFB"/>
    <w:rsid w:val="00A504E5"/>
    <w:rsid w:val="00A50E6A"/>
    <w:rsid w:val="00A55207"/>
    <w:rsid w:val="00A631C3"/>
    <w:rsid w:val="00A71F02"/>
    <w:rsid w:val="00A747D0"/>
    <w:rsid w:val="00A74915"/>
    <w:rsid w:val="00A756C0"/>
    <w:rsid w:val="00A773E8"/>
    <w:rsid w:val="00A92C4D"/>
    <w:rsid w:val="00A93B37"/>
    <w:rsid w:val="00A97608"/>
    <w:rsid w:val="00AD0853"/>
    <w:rsid w:val="00AD71CC"/>
    <w:rsid w:val="00AF1082"/>
    <w:rsid w:val="00AF2903"/>
    <w:rsid w:val="00AF46B8"/>
    <w:rsid w:val="00AF6919"/>
    <w:rsid w:val="00B01DE4"/>
    <w:rsid w:val="00B07083"/>
    <w:rsid w:val="00B1073C"/>
    <w:rsid w:val="00B13C12"/>
    <w:rsid w:val="00B14482"/>
    <w:rsid w:val="00B152A8"/>
    <w:rsid w:val="00B15A2B"/>
    <w:rsid w:val="00B15AEC"/>
    <w:rsid w:val="00B21E57"/>
    <w:rsid w:val="00B22E26"/>
    <w:rsid w:val="00B32C36"/>
    <w:rsid w:val="00B33677"/>
    <w:rsid w:val="00B33FB3"/>
    <w:rsid w:val="00B40542"/>
    <w:rsid w:val="00B47884"/>
    <w:rsid w:val="00B51574"/>
    <w:rsid w:val="00B53F6A"/>
    <w:rsid w:val="00B91501"/>
    <w:rsid w:val="00B97531"/>
    <w:rsid w:val="00BB5B94"/>
    <w:rsid w:val="00BC2F16"/>
    <w:rsid w:val="00BC4D92"/>
    <w:rsid w:val="00BC772D"/>
    <w:rsid w:val="00BD741A"/>
    <w:rsid w:val="00BE137F"/>
    <w:rsid w:val="00BE6AA2"/>
    <w:rsid w:val="00BF1895"/>
    <w:rsid w:val="00BF4596"/>
    <w:rsid w:val="00BF6670"/>
    <w:rsid w:val="00BF69B7"/>
    <w:rsid w:val="00BF723C"/>
    <w:rsid w:val="00C00001"/>
    <w:rsid w:val="00C0094C"/>
    <w:rsid w:val="00C032B2"/>
    <w:rsid w:val="00C06ED8"/>
    <w:rsid w:val="00C1275E"/>
    <w:rsid w:val="00C17168"/>
    <w:rsid w:val="00C25241"/>
    <w:rsid w:val="00C40694"/>
    <w:rsid w:val="00C53FED"/>
    <w:rsid w:val="00C62FCE"/>
    <w:rsid w:val="00C77C39"/>
    <w:rsid w:val="00C83D8C"/>
    <w:rsid w:val="00C9018A"/>
    <w:rsid w:val="00C9327C"/>
    <w:rsid w:val="00C965BF"/>
    <w:rsid w:val="00C971BF"/>
    <w:rsid w:val="00CA615B"/>
    <w:rsid w:val="00CA64A6"/>
    <w:rsid w:val="00CA6ADD"/>
    <w:rsid w:val="00CB0790"/>
    <w:rsid w:val="00CB7FBA"/>
    <w:rsid w:val="00CC53FA"/>
    <w:rsid w:val="00CD586C"/>
    <w:rsid w:val="00CD6F35"/>
    <w:rsid w:val="00D03B62"/>
    <w:rsid w:val="00D0446B"/>
    <w:rsid w:val="00D04AD0"/>
    <w:rsid w:val="00D04E5B"/>
    <w:rsid w:val="00D14EFE"/>
    <w:rsid w:val="00D14F34"/>
    <w:rsid w:val="00D15B81"/>
    <w:rsid w:val="00D166C4"/>
    <w:rsid w:val="00D21B2E"/>
    <w:rsid w:val="00D2349A"/>
    <w:rsid w:val="00D23AB5"/>
    <w:rsid w:val="00D256F7"/>
    <w:rsid w:val="00D33DB5"/>
    <w:rsid w:val="00D35830"/>
    <w:rsid w:val="00D35BBC"/>
    <w:rsid w:val="00D415EC"/>
    <w:rsid w:val="00D4568B"/>
    <w:rsid w:val="00D66290"/>
    <w:rsid w:val="00D730EB"/>
    <w:rsid w:val="00D73B65"/>
    <w:rsid w:val="00D75219"/>
    <w:rsid w:val="00D75E76"/>
    <w:rsid w:val="00D771CC"/>
    <w:rsid w:val="00D80D4A"/>
    <w:rsid w:val="00D817E6"/>
    <w:rsid w:val="00D83C2C"/>
    <w:rsid w:val="00D9149F"/>
    <w:rsid w:val="00DA08BE"/>
    <w:rsid w:val="00DA1254"/>
    <w:rsid w:val="00DA30CF"/>
    <w:rsid w:val="00DA6921"/>
    <w:rsid w:val="00DB10F7"/>
    <w:rsid w:val="00DB5A8F"/>
    <w:rsid w:val="00DB6374"/>
    <w:rsid w:val="00DB6A8B"/>
    <w:rsid w:val="00DC2219"/>
    <w:rsid w:val="00DC7AC3"/>
    <w:rsid w:val="00DD670D"/>
    <w:rsid w:val="00DE347D"/>
    <w:rsid w:val="00DF632D"/>
    <w:rsid w:val="00DF7707"/>
    <w:rsid w:val="00E21999"/>
    <w:rsid w:val="00E222C6"/>
    <w:rsid w:val="00E23F75"/>
    <w:rsid w:val="00E27CBD"/>
    <w:rsid w:val="00E311D4"/>
    <w:rsid w:val="00E4308C"/>
    <w:rsid w:val="00E50B26"/>
    <w:rsid w:val="00E519D3"/>
    <w:rsid w:val="00E525DE"/>
    <w:rsid w:val="00E57D4E"/>
    <w:rsid w:val="00E60854"/>
    <w:rsid w:val="00E663DF"/>
    <w:rsid w:val="00E7028F"/>
    <w:rsid w:val="00E77F1C"/>
    <w:rsid w:val="00E92649"/>
    <w:rsid w:val="00E93D01"/>
    <w:rsid w:val="00E95550"/>
    <w:rsid w:val="00EA2CCE"/>
    <w:rsid w:val="00EB5C72"/>
    <w:rsid w:val="00EC2419"/>
    <w:rsid w:val="00EC6726"/>
    <w:rsid w:val="00ED024C"/>
    <w:rsid w:val="00ED326B"/>
    <w:rsid w:val="00ED3955"/>
    <w:rsid w:val="00EE119B"/>
    <w:rsid w:val="00EE248B"/>
    <w:rsid w:val="00EE2A33"/>
    <w:rsid w:val="00EE5D8C"/>
    <w:rsid w:val="00EE7338"/>
    <w:rsid w:val="00EF509F"/>
    <w:rsid w:val="00EF586F"/>
    <w:rsid w:val="00EF6684"/>
    <w:rsid w:val="00F011AF"/>
    <w:rsid w:val="00F12687"/>
    <w:rsid w:val="00F2577E"/>
    <w:rsid w:val="00F513CA"/>
    <w:rsid w:val="00F55C07"/>
    <w:rsid w:val="00F577DC"/>
    <w:rsid w:val="00F77366"/>
    <w:rsid w:val="00F80EF5"/>
    <w:rsid w:val="00F8336F"/>
    <w:rsid w:val="00F85CDE"/>
    <w:rsid w:val="00F85D9B"/>
    <w:rsid w:val="00F94AB3"/>
    <w:rsid w:val="00FB0EA1"/>
    <w:rsid w:val="00FB5F67"/>
    <w:rsid w:val="00FB68BE"/>
    <w:rsid w:val="00FC1216"/>
    <w:rsid w:val="00FC7743"/>
    <w:rsid w:val="00FD3B98"/>
    <w:rsid w:val="00FE3648"/>
    <w:rsid w:val="00FF5340"/>
    <w:rsid w:val="00FF732D"/>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E1402"/>
  <w15:chartTrackingRefBased/>
  <w15:docId w15:val="{C9C15E4B-2D26-46AE-A68E-3E7C34E3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8D1"/>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43001F"/>
    <w:pPr>
      <w:spacing w:before="0"/>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Heading7"/>
    <w:next w:val="Normal"/>
    <w:link w:val="Heading6Char"/>
    <w:uiPriority w:val="9"/>
    <w:unhideWhenUsed/>
    <w:qFormat/>
    <w:rsid w:val="004D43E8"/>
    <w:pPr>
      <w:ind w:left="142" w:hanging="142"/>
      <w:outlineLvl w:val="5"/>
    </w:pPr>
  </w:style>
  <w:style w:type="paragraph" w:styleId="Heading7">
    <w:name w:val="heading 7"/>
    <w:basedOn w:val="TOC1"/>
    <w:next w:val="Normal"/>
    <w:link w:val="Heading7Char"/>
    <w:uiPriority w:val="9"/>
    <w:unhideWhenUsed/>
    <w:rsid w:val="004D43E8"/>
    <w:pPr>
      <w:outlineLvl w:val="6"/>
    </w:pPr>
    <w:rPr>
      <w:szCs w:val="17"/>
    </w:rPr>
  </w:style>
  <w:style w:type="paragraph" w:styleId="Heading8">
    <w:name w:val="heading 8"/>
    <w:basedOn w:val="Normal"/>
    <w:next w:val="Normal"/>
    <w:link w:val="Heading8Char"/>
    <w:uiPriority w:val="9"/>
    <w:semiHidden/>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7F1C"/>
    <w:pPr>
      <w:spacing w:after="0"/>
    </w:pPr>
  </w:style>
  <w:style w:type="character" w:customStyle="1" w:styleId="Heading1Char">
    <w:name w:val="Heading 1 Char"/>
    <w:link w:val="Heading1"/>
    <w:uiPriority w:val="9"/>
    <w:rsid w:val="0043001F"/>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4D43E8"/>
    <w:rPr>
      <w:rFonts w:ascii="Times New Roman" w:eastAsia="Times New Roman" w:hAnsi="Times New Roman"/>
      <w:noProof/>
      <w:color w:val="000000"/>
      <w:sz w:val="17"/>
      <w:szCs w:val="17"/>
    </w:rPr>
  </w:style>
  <w:style w:type="character" w:customStyle="1" w:styleId="Heading7Char">
    <w:name w:val="Heading 7 Char"/>
    <w:link w:val="Heading7"/>
    <w:uiPriority w:val="9"/>
    <w:rsid w:val="004D43E8"/>
    <w:rPr>
      <w:rFonts w:ascii="Times New Roman" w:eastAsia="Times New Roman" w:hAnsi="Times New Roman"/>
      <w:noProof/>
      <w:color w:val="000000"/>
      <w:sz w:val="17"/>
      <w:szCs w:val="17"/>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5"/>
    <w:next w:val="Normal"/>
    <w:uiPriority w:val="39"/>
    <w:unhideWhenUsed/>
    <w:qFormat/>
    <w:rsid w:val="00CA64A6"/>
    <w:rPr>
      <w:noProof/>
      <w:szCs w:val="17"/>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next w:val="GG-body"/>
    <w:autoRedefine/>
    <w:uiPriority w:val="39"/>
    <w:qFormat/>
    <w:rsid w:val="00DB6374"/>
    <w:pPr>
      <w:keepLines/>
      <w:tabs>
        <w:tab w:val="right" w:leader="dot" w:pos="4550"/>
      </w:tabs>
      <w:autoSpaceDE w:val="0"/>
      <w:autoSpaceDN w:val="0"/>
      <w:adjustRightInd w:val="0"/>
      <w:spacing w:before="80" w:line="170" w:lineRule="exact"/>
    </w:pPr>
    <w:rPr>
      <w:rFonts w:ascii="Times New Roman" w:eastAsia="Times New Roman" w:hAnsi="Times New Roman"/>
      <w:b/>
      <w:smallCaps/>
      <w:noProof/>
      <w:color w:val="000000"/>
      <w:sz w:val="17"/>
      <w:szCs w:val="30"/>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paragraph" w:styleId="TOAHeading">
    <w:name w:val="toa heading"/>
    <w:basedOn w:val="Normal"/>
    <w:next w:val="Normal"/>
    <w:uiPriority w:val="99"/>
    <w:unhideWhenUsed/>
    <w:rsid w:val="000B38D1"/>
    <w:pPr>
      <w:spacing w:before="120"/>
    </w:pPr>
    <w:rPr>
      <w:rFonts w:asciiTheme="majorHAnsi" w:eastAsiaTheme="majorEastAsia" w:hAnsiTheme="majorHAnsi" w:cstheme="majorBidi"/>
      <w:b/>
      <w:bCs/>
      <w:sz w:val="24"/>
      <w:szCs w:val="24"/>
    </w:rPr>
  </w:style>
  <w:style w:type="character" w:styleId="FootnoteReference">
    <w:name w:val="footnote reference"/>
    <w:rsid w:val="00260D97"/>
    <w:rPr>
      <w:vertAlign w:val="superscript"/>
    </w:rPr>
  </w:style>
  <w:style w:type="character" w:customStyle="1" w:styleId="footnotemark">
    <w:name w:val="footnote mark"/>
    <w:hidden/>
    <w:rsid w:val="00260D97"/>
    <w:rPr>
      <w:rFonts w:ascii="Arial" w:eastAsia="Arial" w:hAnsi="Arial" w:cs="Arial"/>
      <w:color w:val="000000"/>
      <w:sz w:val="18"/>
      <w:vertAlign w:val="superscript"/>
    </w:rPr>
  </w:style>
  <w:style w:type="table" w:styleId="TableGrid">
    <w:name w:val="Table Grid"/>
    <w:basedOn w:val="TableNormal"/>
    <w:uiPriority w:val="59"/>
    <w:rsid w:val="00EC672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Greyhound%20Industry%20Reform%20Inspector%20Act%202024" TargetMode="External"/><Relationship Id="rId26" Type="http://schemas.openxmlformats.org/officeDocument/2006/relationships/hyperlink" Target="http://www.sa.gov.au/roadsactproposals" TargetMode="External"/><Relationship Id="rId3" Type="http://schemas.openxmlformats.org/officeDocument/2006/relationships/styles" Target="styles.xml"/><Relationship Id="rId21" Type="http://schemas.openxmlformats.org/officeDocument/2006/relationships/hyperlink" Target="http://www.legislation.sa.gov.au/index.aspx?action=legref&amp;type=act&amp;legtitle=Legislation%20(Fees)%20Act%20201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act&amp;legtitle=Greyhound%20Industry%20Reform%20Inspector%20Act%202024" TargetMode="Externa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orsr.sa.gov.au/clubs-and-associations/boxing-and-martial-arts" TargetMode="External"/><Relationship Id="rId29" Type="http://schemas.openxmlformats.org/officeDocument/2006/relationships/hyperlink" Target="http://www.governmentgazette.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Family%20and%20Community%20Services%20Act%201972"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egislation.sa.gov.au/index.aspx?action=legref&amp;type=subordleg&amp;legtitle=National%20Parks%20and%20Wildlife%20(Hunting)%20Regulations%202011" TargetMode="External"/><Relationship Id="rId28" Type="http://schemas.openxmlformats.org/officeDocument/2006/relationships/hyperlink" Target="mailto:governmentgazettesa@sa.gov.au" TargetMode="External"/><Relationship Id="rId10" Type="http://schemas.openxmlformats.org/officeDocument/2006/relationships/header" Target="header2.xml"/><Relationship Id="rId19" Type="http://schemas.openxmlformats.org/officeDocument/2006/relationships/hyperlink" Target="https://www.orsr.sa.gov.au/clubs-and-associations/boxing-and-martial-arts"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National%20Parks%20and%20Wildlife%20Act%201972" TargetMode="External"/><Relationship Id="rId27" Type="http://schemas.openxmlformats.org/officeDocument/2006/relationships/hyperlink" Target="http://www.wattlerange.sa.gov.au" TargetMode="External"/><Relationship Id="rId30" Type="http://schemas.openxmlformats.org/officeDocument/2006/relationships/hyperlink" Target="http://www.governmentgazette.sa.gov.au" TargetMode="Externa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GG%20PAGINAT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 PAGINATION_TEMPLATE</Template>
  <TotalTime>1244</TotalTime>
  <Pages>29</Pages>
  <Words>16508</Words>
  <Characters>94097</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No. 12 - Thursday, 27 February 2025 (pp. 223–251)</vt:lpstr>
    </vt:vector>
  </TitlesOfParts>
  <Company>SA Government</Company>
  <LinksUpToDate>false</LinksUpToDate>
  <CharactersWithSpaces>110385</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12 - Thursday, 27 February 2025 (pp. 223–251)</dc:title>
  <dc:subject/>
  <dc:creator>Jamie Eaton</dc:creator>
  <cp:keywords/>
  <cp:lastModifiedBy>Eaton, Jamie (Service SA)</cp:lastModifiedBy>
  <cp:revision>24</cp:revision>
  <cp:lastPrinted>2025-02-27T00:44:00Z</cp:lastPrinted>
  <dcterms:created xsi:type="dcterms:W3CDTF">2025-02-26T02:40:00Z</dcterms:created>
  <dcterms:modified xsi:type="dcterms:W3CDTF">2025-02-27T00:44:00Z</dcterms:modified>
</cp:coreProperties>
</file>